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ED55F" w14:textId="77777777" w:rsidR="00C83FEE" w:rsidRPr="00C83FEE" w:rsidRDefault="00C83FEE" w:rsidP="00F5542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lang w:val="uk-UA" w:eastAsia="ru-RU"/>
        </w:rPr>
        <w:t>З</w:t>
      </w: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АТВЕРДЖЕНО</w:t>
      </w:r>
    </w:p>
    <w:p w14:paraId="289C80F1" w14:textId="77777777" w:rsidR="00C83FEE" w:rsidRPr="00C83FEE" w:rsidRDefault="00C83FEE" w:rsidP="00F5542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рішенням загальних зборів акціонерів</w:t>
      </w:r>
    </w:p>
    <w:p w14:paraId="170B78D1" w14:textId="77777777" w:rsidR="00C83FEE" w:rsidRPr="00C83FEE" w:rsidRDefault="00C83FEE" w:rsidP="00F5542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ПАТ "</w:t>
      </w:r>
      <w:r w:rsidRPr="00C83FEE">
        <w:rPr>
          <w:rFonts w:ascii="Times New Roman" w:hAnsi="Times New Roman" w:cs="Times New Roman"/>
          <w:lang w:val="uk-UA"/>
        </w:rPr>
        <w:t>ЦУКРОВИЙ ЗАВОД ІМ. </w:t>
      </w:r>
      <w:proofErr w:type="spellStart"/>
      <w:r w:rsidRPr="00C83FEE">
        <w:rPr>
          <w:rFonts w:ascii="Times New Roman" w:hAnsi="Times New Roman" w:cs="Times New Roman"/>
          <w:lang w:val="uk-UA"/>
        </w:rPr>
        <w:t>ЦЮРУПИ</w:t>
      </w:r>
      <w:proofErr w:type="spellEnd"/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"</w:t>
      </w:r>
    </w:p>
    <w:p w14:paraId="1BCFFA51" w14:textId="305436C6" w:rsidR="00C83FEE" w:rsidRPr="00C83FEE" w:rsidRDefault="00C83FEE" w:rsidP="00F5542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протокол №</w:t>
      </w:r>
      <w:r w:rsidR="00F55426">
        <w:rPr>
          <w:rFonts w:ascii="Times New Roman" w:eastAsia="Times New Roman" w:hAnsi="Times New Roman" w:cs="Times New Roman"/>
          <w:color w:val="000000"/>
          <w:lang w:val="uk-UA" w:eastAsia="ru-RU"/>
        </w:rPr>
        <w:t>2</w:t>
      </w:r>
      <w:r w:rsidR="005E6EB1">
        <w:rPr>
          <w:rFonts w:ascii="Times New Roman" w:eastAsia="Times New Roman" w:hAnsi="Times New Roman" w:cs="Times New Roman"/>
          <w:color w:val="000000"/>
          <w:lang w:val="uk-UA" w:eastAsia="ru-RU"/>
        </w:rPr>
        <w:t>7</w:t>
      </w:r>
      <w:r w:rsidR="00A6688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від </w:t>
      </w:r>
      <w:r w:rsidR="00F55426">
        <w:rPr>
          <w:rFonts w:ascii="Times New Roman" w:eastAsia="Times New Roman" w:hAnsi="Times New Roman" w:cs="Times New Roman"/>
          <w:color w:val="000000"/>
          <w:lang w:val="uk-UA" w:eastAsia="ru-RU"/>
        </w:rPr>
        <w:t>27</w:t>
      </w: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квітня 201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6</w:t>
      </w: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р.)</w:t>
      </w:r>
    </w:p>
    <w:p w14:paraId="14C2A469" w14:textId="77777777" w:rsidR="00C83FEE" w:rsidRPr="00C83FEE" w:rsidRDefault="00C83FEE" w:rsidP="00C83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0A29FF5A" w14:textId="77777777" w:rsidR="00C83FEE" w:rsidRPr="00C83FEE" w:rsidRDefault="00C83FEE" w:rsidP="00C83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0835E3CF" w14:textId="77777777" w:rsidR="00C83FEE" w:rsidRPr="00C83FEE" w:rsidRDefault="00C83FEE" w:rsidP="00C83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167133F3" w14:textId="77777777" w:rsidR="00C83FEE" w:rsidRPr="00C83FEE" w:rsidRDefault="00C83FEE" w:rsidP="00C83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Положення про наглядову раду</w:t>
      </w:r>
    </w:p>
    <w:p w14:paraId="0FE2AA27" w14:textId="77777777" w:rsidR="00C83FEE" w:rsidRPr="00C83FEE" w:rsidRDefault="00C83FEE" w:rsidP="00C83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Публічного акціонерного товариства "</w:t>
      </w:r>
      <w:r w:rsidRPr="00C83FEE">
        <w:rPr>
          <w:rFonts w:ascii="Times New Roman" w:hAnsi="Times New Roman" w:cs="Times New Roman"/>
          <w:b/>
          <w:lang w:val="uk-UA"/>
        </w:rPr>
        <w:t>ЦУКРОВИЙ ЗАВОД ІМ. </w:t>
      </w:r>
      <w:proofErr w:type="spellStart"/>
      <w:r w:rsidRPr="00C83FEE">
        <w:rPr>
          <w:rFonts w:ascii="Times New Roman" w:hAnsi="Times New Roman" w:cs="Times New Roman"/>
          <w:b/>
          <w:lang w:val="uk-UA"/>
        </w:rPr>
        <w:t>ЦЮРУПИ</w:t>
      </w:r>
      <w:proofErr w:type="spellEnd"/>
      <w:r w:rsidRPr="00C83FEE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"</w:t>
      </w:r>
    </w:p>
    <w:p w14:paraId="05A6487A" w14:textId="77777777" w:rsidR="00C83FEE" w:rsidRPr="00C83FEE" w:rsidRDefault="00C83FEE" w:rsidP="00C83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(нова редакція)</w:t>
      </w:r>
    </w:p>
    <w:p w14:paraId="57372D89" w14:textId="77777777" w:rsidR="00C83FEE" w:rsidRPr="00C83FEE" w:rsidRDefault="00C83FEE" w:rsidP="00C83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 </w:t>
      </w:r>
    </w:p>
    <w:p w14:paraId="7ADAC9F7" w14:textId="77777777" w:rsidR="00C83FEE" w:rsidRPr="00C83FEE" w:rsidRDefault="00C83FEE" w:rsidP="00F55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C83FEE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 </w:t>
      </w:r>
    </w:p>
    <w:p w14:paraId="368309D5" w14:textId="77777777" w:rsidR="00C83FEE" w:rsidRPr="00C83FEE" w:rsidRDefault="00C83FEE" w:rsidP="00C83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1. ЗАГАЛЬНІ ПОЛОЖЕННЯ</w:t>
      </w:r>
    </w:p>
    <w:p w14:paraId="5C1D0905" w14:textId="77777777" w:rsidR="00C83FEE" w:rsidRPr="00C83FEE" w:rsidRDefault="00C83FEE" w:rsidP="00C83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60EFDA15" w14:textId="77777777" w:rsidR="00C83FEE" w:rsidRPr="00C83FEE" w:rsidRDefault="00C83FEE" w:rsidP="00C83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1.1. Положення про наглядову раду Публічного акціонерного товариства "</w:t>
      </w:r>
      <w:r w:rsidRPr="00C83FEE">
        <w:rPr>
          <w:rFonts w:ascii="Times New Roman" w:hAnsi="Times New Roman" w:cs="Times New Roman"/>
          <w:lang w:val="uk-UA"/>
        </w:rPr>
        <w:t>ЦУКРОВИЙ ЗАВОД ІМ. </w:t>
      </w:r>
      <w:proofErr w:type="spellStart"/>
      <w:r w:rsidRPr="00C83FEE">
        <w:rPr>
          <w:rFonts w:ascii="Times New Roman" w:hAnsi="Times New Roman" w:cs="Times New Roman"/>
          <w:lang w:val="uk-UA"/>
        </w:rPr>
        <w:t>ЦЮРУПИ</w:t>
      </w:r>
      <w:proofErr w:type="spellEnd"/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" (далі за текстом - "Положення") розроблено згідно з нормами Закону України "Про акціонерні товариства", статуту ПАТ "</w:t>
      </w:r>
      <w:r w:rsidRPr="00C83FEE">
        <w:rPr>
          <w:rFonts w:ascii="Times New Roman" w:hAnsi="Times New Roman" w:cs="Times New Roman"/>
          <w:lang w:val="uk-UA"/>
        </w:rPr>
        <w:t>ЦУКРОВИЙ ЗАВОД ІМ. </w:t>
      </w:r>
      <w:proofErr w:type="spellStart"/>
      <w:r w:rsidRPr="00C83FEE">
        <w:rPr>
          <w:rFonts w:ascii="Times New Roman" w:hAnsi="Times New Roman" w:cs="Times New Roman"/>
          <w:lang w:val="uk-UA"/>
        </w:rPr>
        <w:t>ЦЮРУПИ</w:t>
      </w:r>
      <w:proofErr w:type="spellEnd"/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", а також інших нормативно-правових актів з метою регламентації та упорядкування роботи наглядової ради "</w:t>
      </w:r>
      <w:r w:rsidRPr="00C83FEE">
        <w:rPr>
          <w:rFonts w:ascii="Times New Roman" w:hAnsi="Times New Roman" w:cs="Times New Roman"/>
          <w:lang w:val="uk-UA"/>
        </w:rPr>
        <w:t>ЦУКРОВИЙ ЗАВОД ІМ. </w:t>
      </w:r>
      <w:proofErr w:type="spellStart"/>
      <w:r w:rsidRPr="00C83FEE">
        <w:rPr>
          <w:rFonts w:ascii="Times New Roman" w:hAnsi="Times New Roman" w:cs="Times New Roman"/>
          <w:lang w:val="uk-UA"/>
        </w:rPr>
        <w:t>ЦЮРУПИ</w:t>
      </w:r>
      <w:proofErr w:type="spellEnd"/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".</w:t>
      </w:r>
    </w:p>
    <w:p w14:paraId="6C8E4C97" w14:textId="5BB5F513" w:rsidR="00C83FEE" w:rsidRPr="00C83FEE" w:rsidRDefault="00C83FEE" w:rsidP="00C83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1.2. Наглядова рада Публічного акціонерного товариства "</w:t>
      </w:r>
      <w:r w:rsidRPr="00C83FEE">
        <w:rPr>
          <w:rFonts w:ascii="Times New Roman" w:hAnsi="Times New Roman" w:cs="Times New Roman"/>
          <w:lang w:val="uk-UA"/>
        </w:rPr>
        <w:t>ЦУКРОВИЙ ЗАВОД ІМ. </w:t>
      </w:r>
      <w:proofErr w:type="spellStart"/>
      <w:r w:rsidRPr="00C83FEE">
        <w:rPr>
          <w:rFonts w:ascii="Times New Roman" w:hAnsi="Times New Roman" w:cs="Times New Roman"/>
          <w:lang w:val="uk-UA"/>
        </w:rPr>
        <w:t>ЦЮРУПИ</w:t>
      </w:r>
      <w:proofErr w:type="spellEnd"/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" (далі за текстом - "Товариство") є органом Товариства, який здійснює захист прав акціонера Товариства і, в межах компетенції, передбаченої статутом і цим Положенням, контролює та регулює діяльність </w:t>
      </w:r>
      <w:r w:rsidR="00A66882">
        <w:rPr>
          <w:rFonts w:ascii="Times New Roman" w:eastAsia="Times New Roman" w:hAnsi="Times New Roman" w:cs="Times New Roman"/>
          <w:color w:val="000000"/>
          <w:lang w:val="uk-UA" w:eastAsia="ru-RU"/>
        </w:rPr>
        <w:t>Генерального директора</w:t>
      </w:r>
      <w:r w:rsidR="00A66882"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Товариства.</w:t>
      </w:r>
    </w:p>
    <w:p w14:paraId="2A1D2B74" w14:textId="77777777" w:rsidR="00C83FEE" w:rsidRPr="00C83FEE" w:rsidRDefault="00C83FEE" w:rsidP="00C83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1.3. У своїй діяльності наглядова рада керується чинними нормативно - правовими актами України, статутом Товариства, цим Положенням, іншими внутрішніми нормативними актами, а також рішеннями, які ухвалені загальними зборами акціонерів.</w:t>
      </w:r>
    </w:p>
    <w:p w14:paraId="3C18B883" w14:textId="77777777" w:rsidR="00C83FEE" w:rsidRPr="00C83FEE" w:rsidRDefault="00C83FEE" w:rsidP="00C83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1.4. Жодні органи Товариства, за винятком загальних зборів акціонерів, не мають права втручатися в діяльність наглядової ради Товариства або давати раді вказівки щодо порядку здійснення покладених на неї функцій, а також з інших питань, які віднесено до її компетенції.</w:t>
      </w:r>
    </w:p>
    <w:p w14:paraId="1B6B5C59" w14:textId="77777777" w:rsidR="00C83FEE" w:rsidRPr="00C83FEE" w:rsidRDefault="00C83FEE" w:rsidP="00C83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1.5. У своїй діяльності наглядова рада підзвітна та підконтрольна загальним зборам акціонерів Товариства.</w:t>
      </w:r>
    </w:p>
    <w:p w14:paraId="00C2853F" w14:textId="77777777" w:rsidR="00C83FEE" w:rsidRPr="00C83FEE" w:rsidRDefault="00C83FEE" w:rsidP="00C83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1.6. Якщо в процесі роботи наглядової ради виникнуть питання, не врегульовані цим Положенням, то до цих питань мають застосовуватися норми чинного законодавства України і статуту Товариства, і ці питання повинні вирішуватися таким чином, щоб прийняті рішення не завдавали шкоди Товариству в цілому і акціонеру зокрема. Після виявлення таких питань, до цього Положення мають бути внесенні відповідні зміни чи доповнення.</w:t>
      </w:r>
    </w:p>
    <w:p w14:paraId="417E7D3B" w14:textId="77777777" w:rsidR="00C83FEE" w:rsidRPr="00C83FEE" w:rsidRDefault="00C83FEE" w:rsidP="00C83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2C9714E1" w14:textId="77777777" w:rsidR="00C83FEE" w:rsidRPr="00C83FEE" w:rsidRDefault="00C83FEE" w:rsidP="00C83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2. ПОРЯДОК УТВОРЕННЯ НАГЛЯДОВОЇ РАДИ</w:t>
      </w:r>
    </w:p>
    <w:p w14:paraId="3B08D5E1" w14:textId="77777777" w:rsidR="00C83FEE" w:rsidRPr="00C83FEE" w:rsidRDefault="00C83FEE" w:rsidP="00C83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5D01DFEB" w14:textId="69E170D8" w:rsidR="00C83FEE" w:rsidRPr="00C83FEE" w:rsidRDefault="00C83FEE" w:rsidP="00C83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2.1. </w:t>
      </w:r>
      <w:r w:rsidR="00A66882">
        <w:rPr>
          <w:rFonts w:ascii="Times New Roman" w:eastAsia="Times New Roman" w:hAnsi="Times New Roman" w:cs="Times New Roman"/>
          <w:color w:val="000000"/>
          <w:lang w:val="uk-UA" w:eastAsia="ru-RU"/>
        </w:rPr>
        <w:t>Ч</w:t>
      </w: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лени наглядової ради обираються загальними зборами акціонерів з числа фізичних осіб, які мають повну цивільну дієздатність, на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до наступних річних зборів Товариства</w:t>
      </w: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. </w:t>
      </w:r>
      <w:r w:rsidR="00A66882">
        <w:rPr>
          <w:rFonts w:ascii="Times New Roman" w:eastAsia="Times New Roman" w:hAnsi="Times New Roman" w:cs="Times New Roman"/>
          <w:color w:val="000000"/>
          <w:lang w:val="uk-UA" w:eastAsia="ru-RU"/>
        </w:rPr>
        <w:t>Наглядова рада обирається загальними зборами акціонерів у кількості 5 (п’яти) осіб</w:t>
      </w: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</w:p>
    <w:p w14:paraId="2BF829A4" w14:textId="5691C1D0" w:rsidR="00C83FEE" w:rsidRPr="00C83FEE" w:rsidRDefault="00C83FEE" w:rsidP="00C83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2.2. </w:t>
      </w:r>
      <w:r w:rsidR="00A66882">
        <w:rPr>
          <w:rFonts w:ascii="Times New Roman" w:eastAsia="Times New Roman" w:hAnsi="Times New Roman" w:cs="Times New Roman"/>
          <w:color w:val="000000"/>
          <w:lang w:val="uk-UA" w:eastAsia="ru-RU"/>
        </w:rPr>
        <w:t>Голова та с</w:t>
      </w: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екретар наглядової ради обира</w:t>
      </w:r>
      <w:r w:rsidR="00A66882">
        <w:rPr>
          <w:rFonts w:ascii="Times New Roman" w:eastAsia="Times New Roman" w:hAnsi="Times New Roman" w:cs="Times New Roman"/>
          <w:color w:val="000000"/>
          <w:lang w:val="uk-UA" w:eastAsia="ru-RU"/>
        </w:rPr>
        <w:t>ю</w:t>
      </w: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ться з членів ради на її засіданні.</w:t>
      </w:r>
    </w:p>
    <w:p w14:paraId="6A62484D" w14:textId="77777777" w:rsidR="00C83FEE" w:rsidRPr="00C83FEE" w:rsidRDefault="00C83FEE" w:rsidP="00C83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2.3. Член наглядової ради не може бути одночасно членом виконавчого органу та/або членом ревізійної комісії Товариства.</w:t>
      </w:r>
    </w:p>
    <w:p w14:paraId="577C9600" w14:textId="77777777" w:rsidR="00C83FEE" w:rsidRPr="00C83FEE" w:rsidRDefault="00C83FEE" w:rsidP="00C83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2.4. З головою і членами наглядової ради укладається цивільно-правовий або трудовий договір згідно з рішенням загальних зборів. Такий договір від імені Товариства підписується </w:t>
      </w:r>
      <w:r w:rsidR="00A6688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Генеральним директором Товариства чи іншою </w:t>
      </w: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особою, уповноваженою загальними зборами.</w:t>
      </w:r>
    </w:p>
    <w:p w14:paraId="61936AA5" w14:textId="77777777" w:rsidR="00C83FEE" w:rsidRPr="00C83FEE" w:rsidRDefault="00C83FEE" w:rsidP="00C83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2.5. Член наглядової ради повинен виконувати свої обов'язки особисто і не може передавати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власні повноваження іншій особі</w:t>
      </w: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</w:p>
    <w:p w14:paraId="6F6F2450" w14:textId="12172077" w:rsidR="00C83FEE" w:rsidRPr="00C83FEE" w:rsidRDefault="00C83FEE" w:rsidP="00C83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2.6. </w:t>
      </w:r>
      <w:r w:rsidR="00485B7D" w:rsidRPr="00485B7D">
        <w:rPr>
          <w:rFonts w:ascii="Times New Roman" w:eastAsia="Times New Roman" w:hAnsi="Times New Roman" w:cs="Times New Roman"/>
          <w:color w:val="000000"/>
          <w:lang w:val="uk-UA" w:eastAsia="ru-RU"/>
        </w:rPr>
        <w:t>Повноваження члена наглядової ради</w:t>
      </w:r>
      <w:r w:rsidR="00A6688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Товариства</w:t>
      </w:r>
      <w:r w:rsidR="00485B7D" w:rsidRPr="00485B7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за рішенням загальних зборів можуть бути припинені достроково лише за умови одночасного припинення повноважень</w:t>
      </w:r>
      <w:r w:rsidR="00485B7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усього складу наглядової ради.</w:t>
      </w: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Без рішення загальних зборів повноваження голови (члена) наглядової ради припиняються:</w:t>
      </w:r>
    </w:p>
    <w:p w14:paraId="15D1123E" w14:textId="77777777" w:rsidR="00C83FEE" w:rsidRPr="00C83FEE" w:rsidRDefault="00C83FEE" w:rsidP="00C83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- за його бажанням за умови письмового повідомлення про це Товариства за два тижні;</w:t>
      </w:r>
    </w:p>
    <w:p w14:paraId="10B58DB2" w14:textId="77777777" w:rsidR="00C83FEE" w:rsidRPr="00C83FEE" w:rsidRDefault="00C83FEE" w:rsidP="00C83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- в разі неможливості виконання обов'язків голови (члена) наглядової ради за станом здоров'я;</w:t>
      </w:r>
    </w:p>
    <w:p w14:paraId="2009AFD8" w14:textId="77777777" w:rsidR="00C83FEE" w:rsidRPr="00C83FEE" w:rsidRDefault="00C83FEE" w:rsidP="00C83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lastRenderedPageBreak/>
        <w:t xml:space="preserve">- в разі набрання законної сили </w:t>
      </w:r>
      <w:proofErr w:type="spellStart"/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вироком</w:t>
      </w:r>
      <w:proofErr w:type="spellEnd"/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чи рішенням суду, яким його засуджено до покарання, що виключає можливість виконання обов'язків члена наглядової ради;</w:t>
      </w:r>
    </w:p>
    <w:p w14:paraId="2EABC491" w14:textId="77777777" w:rsidR="00C83FEE" w:rsidRPr="00C83FEE" w:rsidRDefault="00C83FEE" w:rsidP="00C83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- в разі смерті, визнання його недієздатним, обмежено дієздатним, безвісно відсутнім, померлим.</w:t>
      </w:r>
    </w:p>
    <w:p w14:paraId="0EA0B304" w14:textId="77777777" w:rsidR="00C83FEE" w:rsidRPr="00C83FEE" w:rsidRDefault="00C83FEE" w:rsidP="00C83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2.7. З припиненням повноважень голови (члена) наглядової ради одночасно припиняється дія договору (контракту), укладеного з ним.</w:t>
      </w:r>
    </w:p>
    <w:p w14:paraId="460046BE" w14:textId="71ABAD53" w:rsidR="00C83FEE" w:rsidRPr="00C83FEE" w:rsidRDefault="00C83FEE" w:rsidP="00C83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2.8. </w:t>
      </w:r>
      <w:r w:rsidR="00A66882" w:rsidRPr="00A6688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Якщо кількість членів наглядової ради, повноваження яких дійсні, становить менше половини її кількісного складу, </w:t>
      </w:r>
      <w:r w:rsidR="00A66882">
        <w:rPr>
          <w:rFonts w:ascii="Times New Roman" w:eastAsia="Times New Roman" w:hAnsi="Times New Roman" w:cs="Times New Roman"/>
          <w:color w:val="000000"/>
          <w:lang w:val="uk-UA" w:eastAsia="ru-RU"/>
        </w:rPr>
        <w:t>Т</w:t>
      </w:r>
      <w:r w:rsidR="00A66882" w:rsidRPr="00A66882">
        <w:rPr>
          <w:rFonts w:ascii="Times New Roman" w:eastAsia="Times New Roman" w:hAnsi="Times New Roman" w:cs="Times New Roman"/>
          <w:color w:val="000000"/>
          <w:lang w:val="uk-UA" w:eastAsia="ru-RU"/>
        </w:rPr>
        <w:t>овариство протягом трьох місяців має скликати позачергові загальні збори для обрання всього склад</w:t>
      </w:r>
      <w:r w:rsidR="00A66882">
        <w:rPr>
          <w:rFonts w:ascii="Times New Roman" w:eastAsia="Times New Roman" w:hAnsi="Times New Roman" w:cs="Times New Roman"/>
          <w:color w:val="000000"/>
          <w:lang w:val="uk-UA" w:eastAsia="ru-RU"/>
        </w:rPr>
        <w:t>у наглядової ради акціонерного Т</w:t>
      </w:r>
      <w:r w:rsidR="00A66882" w:rsidRPr="00A66882">
        <w:rPr>
          <w:rFonts w:ascii="Times New Roman" w:eastAsia="Times New Roman" w:hAnsi="Times New Roman" w:cs="Times New Roman"/>
          <w:color w:val="000000"/>
          <w:lang w:val="uk-UA" w:eastAsia="ru-RU"/>
        </w:rPr>
        <w:t>овариства</w:t>
      </w:r>
      <w:r w:rsidR="00A66882"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</w:p>
    <w:p w14:paraId="13A6B9E6" w14:textId="77777777" w:rsidR="00C83FEE" w:rsidRPr="00C83FEE" w:rsidRDefault="00C83FEE" w:rsidP="00C83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7E365BFB" w14:textId="77777777" w:rsidR="00C83FEE" w:rsidRPr="00C83FEE" w:rsidRDefault="00C83FEE" w:rsidP="00C83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3. ФУНКЦІЇ І КОМПЕТЕНЦІЯ НАГЛЯДОВОЇ РАДИ</w:t>
      </w:r>
    </w:p>
    <w:p w14:paraId="0673AB91" w14:textId="77777777" w:rsidR="00C83FEE" w:rsidRPr="00C83FEE" w:rsidRDefault="00C83FEE" w:rsidP="00C83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1E898510" w14:textId="77777777" w:rsidR="00C83FEE" w:rsidRPr="00C83FEE" w:rsidRDefault="00C83FEE" w:rsidP="00C83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3.1. Наглядова рада:</w:t>
      </w:r>
    </w:p>
    <w:p w14:paraId="1CC270CF" w14:textId="77777777" w:rsidR="00C83FEE" w:rsidRPr="00C83FEE" w:rsidRDefault="00C83FEE" w:rsidP="00C83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- здійснює контроль за виконанням рішень загальних зборів та діяльністю </w:t>
      </w:r>
      <w:r w:rsidRPr="00897446">
        <w:rPr>
          <w:rFonts w:ascii="Times New Roman" w:eastAsia="Times New Roman" w:hAnsi="Times New Roman" w:cs="Times New Roman"/>
          <w:color w:val="000000"/>
          <w:lang w:val="uk-UA" w:eastAsia="ru-RU"/>
        </w:rPr>
        <w:t>генерального директора</w:t>
      </w: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;</w:t>
      </w:r>
    </w:p>
    <w:p w14:paraId="6A6E7F4D" w14:textId="77777777" w:rsidR="00C83FEE" w:rsidRPr="00C83FEE" w:rsidRDefault="00C83FEE" w:rsidP="00485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- вирішує питання, передані до її компетенції загальними зборами;</w:t>
      </w:r>
    </w:p>
    <w:p w14:paraId="2C169F77" w14:textId="77777777" w:rsidR="00C83FEE" w:rsidRPr="00C83FEE" w:rsidRDefault="00C83FEE" w:rsidP="00485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- здійснює інші дії щодо контролю за діяльністю Товариства.</w:t>
      </w:r>
    </w:p>
    <w:p w14:paraId="7AF060AF" w14:textId="77777777" w:rsidR="00897446" w:rsidRPr="00897446" w:rsidRDefault="00C83FEE" w:rsidP="00897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3.2. До виключної компетенції наглядової ради належить:</w:t>
      </w:r>
    </w:p>
    <w:p w14:paraId="72BA0C36" w14:textId="77777777" w:rsidR="00485B7D" w:rsidRPr="00897446" w:rsidRDefault="00485B7D" w:rsidP="00897446">
      <w:pPr>
        <w:pStyle w:val="ListParagraph"/>
        <w:numPr>
          <w:ilvl w:val="0"/>
          <w:numId w:val="3"/>
        </w:numPr>
        <w:shd w:val="clear" w:color="auto" w:fill="FFFFFF"/>
        <w:jc w:val="both"/>
        <w:rPr>
          <w:color w:val="000000"/>
          <w:sz w:val="22"/>
          <w:szCs w:val="22"/>
          <w:lang w:val="uk-UA"/>
        </w:rPr>
      </w:pPr>
      <w:r w:rsidRPr="00897446">
        <w:rPr>
          <w:rFonts w:eastAsia="Arial"/>
          <w:sz w:val="22"/>
          <w:szCs w:val="22"/>
          <w:lang w:val="uk-UA" w:eastAsia="uk-UA"/>
        </w:rPr>
        <w:t>затвердження в межах своєї компетенції положень, якими регулюються питання, пов'язані з діяльністю Товариства;</w:t>
      </w:r>
    </w:p>
    <w:p w14:paraId="66737085" w14:textId="77777777" w:rsidR="00485B7D" w:rsidRPr="00897446" w:rsidRDefault="00485B7D" w:rsidP="00897446">
      <w:pPr>
        <w:pStyle w:val="ListParagraph"/>
        <w:numPr>
          <w:ilvl w:val="0"/>
          <w:numId w:val="3"/>
        </w:numPr>
        <w:jc w:val="both"/>
        <w:rPr>
          <w:rFonts w:eastAsia="Arial"/>
          <w:sz w:val="22"/>
          <w:szCs w:val="22"/>
        </w:rPr>
      </w:pPr>
      <w:r w:rsidRPr="00897446">
        <w:rPr>
          <w:rFonts w:eastAsia="Arial"/>
          <w:sz w:val="22"/>
          <w:szCs w:val="22"/>
          <w:lang w:val="uk-UA" w:eastAsia="uk-UA"/>
        </w:rPr>
        <w:t>підготовка порядку денного Загальних зборів акціонерів, прийняття рішення про дату їх проведення та про включення пропозицій до порядку денного, крім скликання акціонерами позачергових Загальних зборів;</w:t>
      </w:r>
    </w:p>
    <w:p w14:paraId="75B096B9" w14:textId="77777777" w:rsidR="00485B7D" w:rsidRPr="00897446" w:rsidRDefault="00485B7D" w:rsidP="00897446">
      <w:pPr>
        <w:pStyle w:val="ListParagraph"/>
        <w:numPr>
          <w:ilvl w:val="0"/>
          <w:numId w:val="3"/>
        </w:numPr>
        <w:jc w:val="both"/>
        <w:rPr>
          <w:rFonts w:eastAsia="Arial"/>
          <w:sz w:val="22"/>
          <w:szCs w:val="22"/>
        </w:rPr>
      </w:pPr>
      <w:r w:rsidRPr="00897446">
        <w:rPr>
          <w:rFonts w:eastAsia="Arial"/>
          <w:sz w:val="22"/>
          <w:szCs w:val="22"/>
          <w:lang w:val="uk-UA" w:eastAsia="uk-UA"/>
        </w:rPr>
        <w:t>прийняття рішення про проведення чергових або позачергових загальних зборів відповідно до Статуту Товариства;</w:t>
      </w:r>
    </w:p>
    <w:p w14:paraId="12933371" w14:textId="77777777" w:rsidR="00485B7D" w:rsidRPr="00897446" w:rsidRDefault="00485B7D" w:rsidP="00897446">
      <w:pPr>
        <w:pStyle w:val="ListParagraph"/>
        <w:numPr>
          <w:ilvl w:val="0"/>
          <w:numId w:val="3"/>
        </w:numPr>
        <w:jc w:val="both"/>
        <w:rPr>
          <w:rFonts w:eastAsia="Arial"/>
          <w:sz w:val="22"/>
          <w:szCs w:val="22"/>
        </w:rPr>
      </w:pPr>
      <w:r w:rsidRPr="00897446">
        <w:rPr>
          <w:rFonts w:eastAsia="Arial"/>
          <w:sz w:val="22"/>
          <w:szCs w:val="22"/>
          <w:lang w:val="uk-UA" w:eastAsia="uk-UA"/>
        </w:rPr>
        <w:t>прийняття рішення про продаж раніше викуплених Товариством акцій;</w:t>
      </w:r>
    </w:p>
    <w:p w14:paraId="34292FD2" w14:textId="77777777" w:rsidR="00485B7D" w:rsidRPr="00897446" w:rsidRDefault="00485B7D" w:rsidP="00897446">
      <w:pPr>
        <w:pStyle w:val="ListParagraph"/>
        <w:numPr>
          <w:ilvl w:val="0"/>
          <w:numId w:val="3"/>
        </w:numPr>
        <w:jc w:val="both"/>
        <w:rPr>
          <w:rFonts w:eastAsia="Arial"/>
          <w:sz w:val="22"/>
          <w:szCs w:val="22"/>
        </w:rPr>
      </w:pPr>
      <w:r w:rsidRPr="00897446">
        <w:rPr>
          <w:rFonts w:eastAsia="Arial"/>
          <w:sz w:val="22"/>
          <w:szCs w:val="22"/>
          <w:lang w:val="uk-UA" w:eastAsia="uk-UA"/>
        </w:rPr>
        <w:t>прийняття рішення про розміщення Товариством інших цінних паперів, крім акцій;</w:t>
      </w:r>
    </w:p>
    <w:p w14:paraId="2B1C66DA" w14:textId="77777777" w:rsidR="00485B7D" w:rsidRPr="00897446" w:rsidRDefault="00485B7D" w:rsidP="00897446">
      <w:pPr>
        <w:pStyle w:val="ListParagraph"/>
        <w:numPr>
          <w:ilvl w:val="0"/>
          <w:numId w:val="3"/>
        </w:numPr>
        <w:jc w:val="both"/>
        <w:rPr>
          <w:rFonts w:eastAsia="Arial"/>
          <w:sz w:val="22"/>
          <w:szCs w:val="22"/>
        </w:rPr>
      </w:pPr>
      <w:r w:rsidRPr="00897446">
        <w:rPr>
          <w:rFonts w:eastAsia="Arial"/>
          <w:sz w:val="22"/>
          <w:szCs w:val="22"/>
          <w:lang w:val="uk-UA" w:eastAsia="uk-UA"/>
        </w:rPr>
        <w:t>прийняття рішення про викуп розміщених Товариством інших, крім акцій, цінних паперів;</w:t>
      </w:r>
    </w:p>
    <w:p w14:paraId="7BA291AF" w14:textId="77777777" w:rsidR="00485B7D" w:rsidRPr="00897446" w:rsidRDefault="00485B7D" w:rsidP="00897446">
      <w:pPr>
        <w:pStyle w:val="ListParagraph"/>
        <w:numPr>
          <w:ilvl w:val="0"/>
          <w:numId w:val="3"/>
        </w:numPr>
        <w:jc w:val="both"/>
        <w:rPr>
          <w:rFonts w:eastAsia="Arial"/>
          <w:sz w:val="22"/>
          <w:szCs w:val="22"/>
        </w:rPr>
      </w:pPr>
      <w:r w:rsidRPr="00897446">
        <w:rPr>
          <w:rFonts w:eastAsia="Arial"/>
          <w:sz w:val="22"/>
          <w:szCs w:val="22"/>
          <w:lang w:val="uk-UA" w:eastAsia="uk-UA"/>
        </w:rPr>
        <w:t>затвердження ринкової вартості майна у випадках, передбачених чинним законодавством України;</w:t>
      </w:r>
    </w:p>
    <w:p w14:paraId="26BBD445" w14:textId="77777777" w:rsidR="00485B7D" w:rsidRPr="00897446" w:rsidRDefault="00485B7D" w:rsidP="00897446">
      <w:pPr>
        <w:pStyle w:val="ListParagraph"/>
        <w:numPr>
          <w:ilvl w:val="0"/>
          <w:numId w:val="3"/>
        </w:numPr>
        <w:jc w:val="both"/>
        <w:rPr>
          <w:rFonts w:eastAsia="Arial"/>
          <w:sz w:val="22"/>
          <w:szCs w:val="22"/>
        </w:rPr>
      </w:pPr>
      <w:r w:rsidRPr="00897446">
        <w:rPr>
          <w:rFonts w:eastAsia="Arial"/>
          <w:sz w:val="22"/>
          <w:szCs w:val="22"/>
          <w:lang w:val="uk-UA"/>
        </w:rPr>
        <w:t>обрання та припинення повноважень Генерального директора;</w:t>
      </w:r>
    </w:p>
    <w:p w14:paraId="0ECB31E9" w14:textId="77777777" w:rsidR="00485B7D" w:rsidRPr="00897446" w:rsidRDefault="00485B7D" w:rsidP="00897446">
      <w:pPr>
        <w:pStyle w:val="ListParagraph"/>
        <w:numPr>
          <w:ilvl w:val="0"/>
          <w:numId w:val="3"/>
        </w:numPr>
        <w:jc w:val="both"/>
        <w:rPr>
          <w:rFonts w:eastAsia="Arial"/>
          <w:sz w:val="22"/>
          <w:szCs w:val="22"/>
        </w:rPr>
      </w:pPr>
      <w:r w:rsidRPr="00897446">
        <w:rPr>
          <w:rFonts w:eastAsia="Arial"/>
          <w:sz w:val="22"/>
          <w:szCs w:val="22"/>
          <w:lang w:val="uk-UA" w:eastAsia="uk-UA"/>
        </w:rPr>
        <w:t>затвердження умов контракту, який укладатиметься з Генеральним директором, встановлення розміру його винагороди;</w:t>
      </w:r>
    </w:p>
    <w:p w14:paraId="24467F21" w14:textId="77777777" w:rsidR="00485B7D" w:rsidRPr="00897446" w:rsidRDefault="00485B7D" w:rsidP="00897446">
      <w:pPr>
        <w:pStyle w:val="ListParagraph"/>
        <w:numPr>
          <w:ilvl w:val="0"/>
          <w:numId w:val="3"/>
        </w:numPr>
        <w:jc w:val="both"/>
        <w:rPr>
          <w:rFonts w:eastAsia="Arial"/>
          <w:sz w:val="22"/>
          <w:szCs w:val="22"/>
        </w:rPr>
      </w:pPr>
      <w:r w:rsidRPr="00897446">
        <w:rPr>
          <w:rFonts w:eastAsia="Arial"/>
          <w:sz w:val="22"/>
          <w:szCs w:val="22"/>
          <w:lang w:val="uk-UA" w:eastAsia="uk-UA"/>
        </w:rPr>
        <w:t>прийняття рішення про відсторонення Генерального директора від здійснення повноважень та обрання особи, яка тимчасово здійснюватиме повноваження Генерального директора;</w:t>
      </w:r>
    </w:p>
    <w:p w14:paraId="3F87D367" w14:textId="77777777" w:rsidR="00485B7D" w:rsidRPr="00897446" w:rsidRDefault="00485B7D" w:rsidP="00897446">
      <w:pPr>
        <w:pStyle w:val="ListParagraph"/>
        <w:numPr>
          <w:ilvl w:val="0"/>
          <w:numId w:val="3"/>
        </w:numPr>
        <w:jc w:val="both"/>
        <w:rPr>
          <w:rFonts w:eastAsia="Arial"/>
          <w:sz w:val="22"/>
          <w:szCs w:val="22"/>
        </w:rPr>
      </w:pPr>
      <w:r w:rsidRPr="00897446">
        <w:rPr>
          <w:rFonts w:eastAsia="Arial"/>
          <w:sz w:val="22"/>
          <w:szCs w:val="22"/>
          <w:lang w:val="uk-UA" w:eastAsia="uk-UA"/>
        </w:rPr>
        <w:t>обрання та припинення повноважень Голови і членів інших органів Товариства;</w:t>
      </w:r>
    </w:p>
    <w:p w14:paraId="58C5FC05" w14:textId="77777777" w:rsidR="00485B7D" w:rsidRPr="00897446" w:rsidRDefault="00485B7D" w:rsidP="00897446">
      <w:pPr>
        <w:pStyle w:val="ListParagraph"/>
        <w:numPr>
          <w:ilvl w:val="0"/>
          <w:numId w:val="3"/>
        </w:numPr>
        <w:jc w:val="both"/>
        <w:rPr>
          <w:rFonts w:eastAsia="Arial"/>
          <w:sz w:val="22"/>
          <w:szCs w:val="22"/>
        </w:rPr>
      </w:pPr>
      <w:r w:rsidRPr="00897446">
        <w:rPr>
          <w:rFonts w:eastAsia="Arial"/>
          <w:sz w:val="22"/>
          <w:szCs w:val="22"/>
          <w:lang w:val="uk-UA" w:eastAsia="uk-UA"/>
        </w:rPr>
        <w:t>обрання реєстраційної комісії, за винятком випадків, встановлених чинним законодавством України;</w:t>
      </w:r>
    </w:p>
    <w:p w14:paraId="3E623158" w14:textId="77777777" w:rsidR="00485B7D" w:rsidRPr="00897446" w:rsidRDefault="00485B7D" w:rsidP="00897446">
      <w:pPr>
        <w:pStyle w:val="ListParagraph"/>
        <w:numPr>
          <w:ilvl w:val="0"/>
          <w:numId w:val="3"/>
        </w:numPr>
        <w:jc w:val="both"/>
        <w:rPr>
          <w:rFonts w:eastAsia="Arial"/>
          <w:sz w:val="22"/>
          <w:szCs w:val="22"/>
        </w:rPr>
      </w:pPr>
      <w:r w:rsidRPr="00897446">
        <w:rPr>
          <w:rFonts w:eastAsia="Arial"/>
          <w:sz w:val="22"/>
          <w:szCs w:val="22"/>
          <w:lang w:val="uk-UA" w:eastAsia="uk-UA"/>
        </w:rPr>
        <w:t>обрання аудитора Товариства та визначення умов договору, що укладатиметься з ним, встановлення розміру оплати його послуг;</w:t>
      </w:r>
    </w:p>
    <w:p w14:paraId="580BDB87" w14:textId="77777777" w:rsidR="00485B7D" w:rsidRPr="00897446" w:rsidRDefault="00485B7D" w:rsidP="00897446">
      <w:pPr>
        <w:pStyle w:val="ListParagraph"/>
        <w:numPr>
          <w:ilvl w:val="0"/>
          <w:numId w:val="3"/>
        </w:numPr>
        <w:jc w:val="both"/>
        <w:rPr>
          <w:rFonts w:eastAsia="Arial"/>
          <w:sz w:val="22"/>
          <w:szCs w:val="22"/>
        </w:rPr>
      </w:pPr>
      <w:r w:rsidRPr="00897446">
        <w:rPr>
          <w:rFonts w:eastAsia="Arial"/>
          <w:sz w:val="22"/>
          <w:szCs w:val="22"/>
          <w:lang w:val="uk-UA" w:eastAsia="uk-UA"/>
        </w:rPr>
        <w:t>визначення дати складення переліку осіб, які мають право на отримання дивідендів, порядку та строків виплати дивідендів у межах граничного строку, визначеного законодавством України;</w:t>
      </w:r>
    </w:p>
    <w:p w14:paraId="59F1ACB9" w14:textId="77777777" w:rsidR="00485B7D" w:rsidRPr="00897446" w:rsidRDefault="00485B7D" w:rsidP="00897446">
      <w:pPr>
        <w:pStyle w:val="ListParagraph"/>
        <w:numPr>
          <w:ilvl w:val="0"/>
          <w:numId w:val="3"/>
        </w:numPr>
        <w:jc w:val="both"/>
        <w:rPr>
          <w:rFonts w:eastAsia="Arial"/>
          <w:sz w:val="22"/>
          <w:szCs w:val="22"/>
        </w:rPr>
      </w:pPr>
      <w:r w:rsidRPr="00897446">
        <w:rPr>
          <w:rFonts w:eastAsia="Arial"/>
          <w:sz w:val="22"/>
          <w:szCs w:val="22"/>
          <w:lang w:val="uk-UA" w:eastAsia="uk-UA"/>
        </w:rPr>
        <w:t>визначення дати складення переліку акціонерів, які мають бути повідомлені про проведення Загальних зборів акціонерів;</w:t>
      </w:r>
    </w:p>
    <w:p w14:paraId="277C1784" w14:textId="77777777" w:rsidR="00485B7D" w:rsidRPr="00897446" w:rsidRDefault="00485B7D" w:rsidP="00897446">
      <w:pPr>
        <w:pStyle w:val="ListParagraph"/>
        <w:numPr>
          <w:ilvl w:val="0"/>
          <w:numId w:val="3"/>
        </w:numPr>
        <w:jc w:val="both"/>
        <w:rPr>
          <w:rFonts w:eastAsia="Arial"/>
          <w:sz w:val="22"/>
          <w:szCs w:val="22"/>
        </w:rPr>
      </w:pPr>
      <w:r w:rsidRPr="00897446">
        <w:rPr>
          <w:rFonts w:eastAsia="Arial"/>
          <w:sz w:val="22"/>
          <w:szCs w:val="22"/>
          <w:lang w:val="uk-UA" w:eastAsia="uk-UA"/>
        </w:rPr>
        <w:t>вирішення питань про участь Товариства у промислово-фінансових групах та інших об'єднаннях, про заснування інших юридичних осіб;</w:t>
      </w:r>
    </w:p>
    <w:p w14:paraId="5E9EE26A" w14:textId="77777777" w:rsidR="00485B7D" w:rsidRPr="00897446" w:rsidRDefault="00485B7D" w:rsidP="00897446">
      <w:pPr>
        <w:pStyle w:val="ListParagraph"/>
        <w:numPr>
          <w:ilvl w:val="0"/>
          <w:numId w:val="3"/>
        </w:numPr>
        <w:jc w:val="both"/>
        <w:rPr>
          <w:rFonts w:eastAsia="Arial"/>
          <w:sz w:val="22"/>
          <w:szCs w:val="22"/>
        </w:rPr>
      </w:pPr>
      <w:r w:rsidRPr="00897446">
        <w:rPr>
          <w:rFonts w:eastAsia="Arial"/>
          <w:sz w:val="22"/>
          <w:szCs w:val="22"/>
          <w:lang w:val="uk-UA" w:eastAsia="uk-UA"/>
        </w:rPr>
        <w:t>вирішення питань, віднесених до компетенції Наглядової ради, у разі злиття, приєднання, поділу, виділу або перетворення Товариства;</w:t>
      </w:r>
    </w:p>
    <w:p w14:paraId="1060F6F2" w14:textId="77777777" w:rsidR="00485B7D" w:rsidRPr="00897446" w:rsidRDefault="00485B7D" w:rsidP="00897446">
      <w:pPr>
        <w:pStyle w:val="ListParagraph"/>
        <w:numPr>
          <w:ilvl w:val="0"/>
          <w:numId w:val="3"/>
        </w:numPr>
        <w:jc w:val="both"/>
        <w:rPr>
          <w:rFonts w:eastAsia="Arial"/>
          <w:sz w:val="22"/>
          <w:szCs w:val="22"/>
        </w:rPr>
      </w:pPr>
      <w:r w:rsidRPr="00897446">
        <w:rPr>
          <w:rFonts w:eastAsia="Arial"/>
          <w:sz w:val="22"/>
          <w:szCs w:val="22"/>
          <w:lang w:val="uk-UA" w:eastAsia="uk-UA"/>
        </w:rPr>
        <w:t>прийняття рішення про вчинення значних правочинів якщо ринкова вартість майна або послуг, що є його предметом, становить від</w:t>
      </w:r>
      <w:r w:rsidRPr="00897446">
        <w:rPr>
          <w:rFonts w:eastAsia="Arial"/>
          <w:sz w:val="22"/>
          <w:szCs w:val="22"/>
        </w:rPr>
        <w:t xml:space="preserve"> 10,</w:t>
      </w:r>
      <w:r w:rsidRPr="00897446">
        <w:rPr>
          <w:rFonts w:eastAsia="Arial"/>
          <w:sz w:val="22"/>
          <w:szCs w:val="22"/>
          <w:lang w:val="uk-UA" w:eastAsia="uk-UA"/>
        </w:rPr>
        <w:t xml:space="preserve"> але не більше</w:t>
      </w:r>
      <w:r w:rsidRPr="00897446">
        <w:rPr>
          <w:rFonts w:eastAsia="Arial"/>
          <w:sz w:val="22"/>
          <w:szCs w:val="22"/>
        </w:rPr>
        <w:t xml:space="preserve"> 25</w:t>
      </w:r>
      <w:r w:rsidRPr="00897446">
        <w:rPr>
          <w:rFonts w:eastAsia="Arial"/>
          <w:sz w:val="22"/>
          <w:szCs w:val="22"/>
          <w:lang w:val="uk-UA" w:eastAsia="uk-UA"/>
        </w:rPr>
        <w:t xml:space="preserve"> відсотків вартості активів за даними останньої річної фінансової звітності Товариства;</w:t>
      </w:r>
    </w:p>
    <w:p w14:paraId="72EE4DBF" w14:textId="77777777" w:rsidR="00485B7D" w:rsidRPr="00897446" w:rsidRDefault="00485B7D" w:rsidP="00897446">
      <w:pPr>
        <w:pStyle w:val="ListParagraph"/>
        <w:numPr>
          <w:ilvl w:val="0"/>
          <w:numId w:val="3"/>
        </w:numPr>
        <w:jc w:val="both"/>
        <w:rPr>
          <w:rFonts w:eastAsia="Arial"/>
          <w:sz w:val="22"/>
          <w:szCs w:val="22"/>
        </w:rPr>
      </w:pPr>
      <w:r w:rsidRPr="00897446">
        <w:rPr>
          <w:rFonts w:eastAsia="Arial"/>
          <w:sz w:val="22"/>
          <w:szCs w:val="22"/>
          <w:lang w:val="uk-UA" w:eastAsia="uk-UA"/>
        </w:rPr>
        <w:t>визначення ймовірності визнання Товариства неплатоспроможним внаслідок прийняття ним на себе зобов'язань або їх виконання, у тому числі внаслідок виплати дивідендів або викупу акцій;</w:t>
      </w:r>
    </w:p>
    <w:p w14:paraId="3B297C31" w14:textId="77777777" w:rsidR="00485B7D" w:rsidRPr="00897446" w:rsidRDefault="00485B7D" w:rsidP="00897446">
      <w:pPr>
        <w:pStyle w:val="ListParagraph"/>
        <w:numPr>
          <w:ilvl w:val="0"/>
          <w:numId w:val="3"/>
        </w:numPr>
        <w:jc w:val="both"/>
        <w:rPr>
          <w:rFonts w:eastAsia="Arial"/>
          <w:sz w:val="22"/>
          <w:szCs w:val="22"/>
        </w:rPr>
      </w:pPr>
      <w:r w:rsidRPr="00897446">
        <w:rPr>
          <w:rFonts w:eastAsia="Arial"/>
          <w:sz w:val="22"/>
          <w:szCs w:val="22"/>
          <w:lang w:val="uk-UA" w:eastAsia="uk-UA"/>
        </w:rPr>
        <w:t>прийняття рішення про обрання оцінювача майна Товариства та затвердження умов договору, що укладатиметься з ним, встановлення розміру оплати його послуг;</w:t>
      </w:r>
    </w:p>
    <w:p w14:paraId="088F11E0" w14:textId="72976DB9" w:rsidR="00485B7D" w:rsidRPr="00897446" w:rsidRDefault="00485B7D" w:rsidP="00897446">
      <w:pPr>
        <w:pStyle w:val="ListParagraph"/>
        <w:numPr>
          <w:ilvl w:val="0"/>
          <w:numId w:val="3"/>
        </w:numPr>
        <w:jc w:val="both"/>
        <w:rPr>
          <w:rFonts w:eastAsia="Arial"/>
          <w:sz w:val="22"/>
          <w:szCs w:val="22"/>
        </w:rPr>
      </w:pPr>
      <w:r w:rsidRPr="00897446">
        <w:rPr>
          <w:rFonts w:eastAsia="Arial"/>
          <w:sz w:val="22"/>
          <w:szCs w:val="22"/>
          <w:lang w:val="uk-UA" w:eastAsia="uk-UA"/>
        </w:rPr>
        <w:lastRenderedPageBreak/>
        <w:t>прийняття рішення про обрання (заміну) депозитарної установи, яка надає акціонерному товариству додаткові послуги, затвердження умов договору, що укладатиметься з нею, встановлення розміру оплати її послуг;</w:t>
      </w:r>
    </w:p>
    <w:p w14:paraId="73AD71B3" w14:textId="77777777" w:rsidR="00485B7D" w:rsidRPr="00897446" w:rsidRDefault="00485B7D" w:rsidP="00897446">
      <w:pPr>
        <w:pStyle w:val="ListParagraph"/>
        <w:numPr>
          <w:ilvl w:val="0"/>
          <w:numId w:val="3"/>
        </w:numPr>
        <w:jc w:val="both"/>
        <w:rPr>
          <w:rFonts w:eastAsia="Arial"/>
          <w:sz w:val="22"/>
          <w:szCs w:val="22"/>
        </w:rPr>
      </w:pPr>
      <w:r w:rsidRPr="00897446">
        <w:rPr>
          <w:rFonts w:eastAsia="Arial"/>
          <w:sz w:val="22"/>
          <w:szCs w:val="22"/>
          <w:lang w:val="uk-UA" w:eastAsia="uk-UA"/>
        </w:rPr>
        <w:t>надсилання пропозиції акціонерам про придбання належних їм простих акцій особою (особами, що діють спільно), яка придбала контрольний пакет акцій, відповідно до ст.</w:t>
      </w:r>
      <w:r w:rsidRPr="00897446">
        <w:rPr>
          <w:rFonts w:eastAsia="Arial"/>
          <w:sz w:val="22"/>
          <w:szCs w:val="22"/>
        </w:rPr>
        <w:t xml:space="preserve">65 </w:t>
      </w:r>
      <w:r w:rsidRPr="00897446">
        <w:rPr>
          <w:rFonts w:eastAsia="Arial"/>
          <w:sz w:val="22"/>
          <w:szCs w:val="22"/>
          <w:lang w:val="uk-UA" w:eastAsia="uk-UA"/>
        </w:rPr>
        <w:t>Закону України "Про акціонерні товариства";</w:t>
      </w:r>
    </w:p>
    <w:p w14:paraId="5FEFCA20" w14:textId="77777777" w:rsidR="00485B7D" w:rsidRPr="00897446" w:rsidRDefault="00485B7D" w:rsidP="00897446">
      <w:pPr>
        <w:pStyle w:val="ListParagraph"/>
        <w:numPr>
          <w:ilvl w:val="0"/>
          <w:numId w:val="3"/>
        </w:numPr>
        <w:jc w:val="both"/>
        <w:rPr>
          <w:rFonts w:eastAsia="Arial"/>
          <w:sz w:val="22"/>
          <w:szCs w:val="22"/>
        </w:rPr>
      </w:pPr>
      <w:r w:rsidRPr="00897446">
        <w:rPr>
          <w:rFonts w:eastAsia="Arial"/>
          <w:sz w:val="22"/>
          <w:szCs w:val="22"/>
          <w:lang w:val="uk-UA"/>
        </w:rPr>
        <w:t>прийняття рішення про визначення місцезнаходження Товариства;</w:t>
      </w:r>
    </w:p>
    <w:p w14:paraId="0D2A0F43" w14:textId="77777777" w:rsidR="00C83FEE" w:rsidRPr="00897446" w:rsidRDefault="00485B7D" w:rsidP="00897446">
      <w:pPr>
        <w:pStyle w:val="ListParagraph"/>
        <w:numPr>
          <w:ilvl w:val="0"/>
          <w:numId w:val="3"/>
        </w:numPr>
        <w:jc w:val="both"/>
        <w:rPr>
          <w:rFonts w:eastAsia="Arial"/>
          <w:sz w:val="22"/>
          <w:szCs w:val="22"/>
        </w:rPr>
      </w:pPr>
      <w:r w:rsidRPr="00897446">
        <w:rPr>
          <w:rFonts w:eastAsia="Arial"/>
          <w:sz w:val="22"/>
          <w:szCs w:val="22"/>
          <w:lang w:val="uk-UA" w:eastAsia="uk-UA"/>
        </w:rPr>
        <w:t>вирішення інших питань, що належать до виключної компетенції Наглядової ради згідно із законом та Статутом.</w:t>
      </w:r>
    </w:p>
    <w:p w14:paraId="21982474" w14:textId="77777777" w:rsidR="00C83FEE" w:rsidRPr="00C83FEE" w:rsidRDefault="00C83FEE" w:rsidP="00C9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3.3. Питання, що згідно з законом належать до виключної компетенції наглядової ради, не можуть вирішуватися іншими органами Товариства, крім загальних зборів, за винятком випадків, встановлених законом.</w:t>
      </w:r>
    </w:p>
    <w:p w14:paraId="64BB48EF" w14:textId="77777777" w:rsidR="00C83FEE" w:rsidRPr="00C83FEE" w:rsidRDefault="00C83FEE" w:rsidP="00C83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3.4. Наглядова рада має право:</w:t>
      </w:r>
    </w:p>
    <w:p w14:paraId="7FE9EE02" w14:textId="77777777" w:rsidR="00C83FEE" w:rsidRPr="00C83FEE" w:rsidRDefault="00C83FEE" w:rsidP="00C83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- отримувати інформацію про діяльність Товариства;</w:t>
      </w:r>
    </w:p>
    <w:p w14:paraId="4C5CC63A" w14:textId="77777777" w:rsidR="00C83FEE" w:rsidRPr="00C83FEE" w:rsidRDefault="00C83FEE" w:rsidP="00C83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- заслуховувати звіти </w:t>
      </w:r>
      <w:r w:rsidR="00897446">
        <w:rPr>
          <w:rFonts w:ascii="Times New Roman" w:eastAsia="Times New Roman" w:hAnsi="Times New Roman" w:cs="Times New Roman"/>
          <w:color w:val="000000"/>
          <w:lang w:val="uk-UA" w:eastAsia="ru-RU"/>
        </w:rPr>
        <w:t>генерального директора</w:t>
      </w: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, посадових осіб інших органів Товариства з окремих питань його діяльності;</w:t>
      </w:r>
    </w:p>
    <w:p w14:paraId="1E2D7085" w14:textId="77777777" w:rsidR="00C83FEE" w:rsidRPr="00C83FEE" w:rsidRDefault="00C83FEE" w:rsidP="00C83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- залучати експертів до аналізу окремих питань діяльності Товариства;</w:t>
      </w:r>
    </w:p>
    <w:p w14:paraId="504262CD" w14:textId="77777777" w:rsidR="00C83FEE" w:rsidRPr="00C83FEE" w:rsidRDefault="00C83FEE" w:rsidP="00C83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- ініціювати проведення позачергових ревізій та аудиторських перевірок фінансово-господарської діяльності Товариства;</w:t>
      </w:r>
    </w:p>
    <w:p w14:paraId="1DD52D10" w14:textId="77777777" w:rsidR="00C83FEE" w:rsidRPr="00C83FEE" w:rsidRDefault="00C83FEE" w:rsidP="00C83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- передати частину своїх повноважень, що не відносяться до її виключної компетенції, правлінню.</w:t>
      </w:r>
    </w:p>
    <w:p w14:paraId="162E8972" w14:textId="1BCC971E" w:rsidR="00C83FEE" w:rsidRPr="00C83FEE" w:rsidRDefault="00C83FEE" w:rsidP="00C9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3.5. </w:t>
      </w:r>
      <w:r w:rsidR="00897446" w:rsidRPr="00897446">
        <w:rPr>
          <w:rFonts w:ascii="Times New Roman" w:eastAsia="Arial" w:hAnsi="Times New Roman" w:cs="Times New Roman"/>
          <w:lang w:val="uk-UA" w:eastAsia="uk-UA"/>
        </w:rPr>
        <w:t>У разі відсторонення Генерального директора від здійснення повноважень Наглядова рада зобов'язана протягом</w:t>
      </w:r>
      <w:r w:rsidR="00897446" w:rsidRPr="00897446">
        <w:rPr>
          <w:rFonts w:ascii="Times New Roman" w:eastAsia="Arial" w:hAnsi="Times New Roman" w:cs="Times New Roman"/>
        </w:rPr>
        <w:t xml:space="preserve"> 10</w:t>
      </w:r>
      <w:r w:rsidR="00897446" w:rsidRPr="00897446">
        <w:rPr>
          <w:rFonts w:ascii="Times New Roman" w:eastAsia="Arial" w:hAnsi="Times New Roman" w:cs="Times New Roman"/>
          <w:lang w:val="uk-UA" w:eastAsia="uk-UA"/>
        </w:rPr>
        <w:t xml:space="preserve"> днів з дати ухвалення відповідного рішення питання прийняти</w:t>
      </w:r>
      <w:r w:rsidR="00FC67A4">
        <w:rPr>
          <w:rFonts w:ascii="Times New Roman" w:eastAsia="Arial" w:hAnsi="Times New Roman" w:cs="Times New Roman"/>
          <w:lang w:val="uk-UA" w:eastAsia="uk-UA"/>
        </w:rPr>
        <w:t xml:space="preserve"> рішення про </w:t>
      </w:r>
      <w:r w:rsidR="00CF7B23">
        <w:rPr>
          <w:rFonts w:ascii="Times New Roman" w:eastAsia="Arial" w:hAnsi="Times New Roman" w:cs="Times New Roman"/>
          <w:lang w:val="uk-UA" w:eastAsia="uk-UA"/>
        </w:rPr>
        <w:t>обрання</w:t>
      </w:r>
      <w:r w:rsidR="00897446" w:rsidRPr="00897446">
        <w:rPr>
          <w:rFonts w:ascii="Times New Roman" w:eastAsia="Arial" w:hAnsi="Times New Roman" w:cs="Times New Roman"/>
          <w:lang w:val="uk-UA" w:eastAsia="uk-UA"/>
        </w:rPr>
        <w:t xml:space="preserve"> </w:t>
      </w:r>
      <w:r w:rsidR="00FC67A4" w:rsidRPr="00C91BC9">
        <w:rPr>
          <w:rFonts w:ascii="Times New Roman" w:eastAsia="Arial" w:hAnsi="Times New Roman" w:cs="Times New Roman"/>
          <w:lang w:val="uk-UA" w:eastAsia="uk-UA"/>
        </w:rPr>
        <w:t>особи, яка тимчасово здійснюватиме повноваження Генерального директора</w:t>
      </w:r>
      <w:r w:rsidR="00897446" w:rsidRPr="00897446">
        <w:rPr>
          <w:rFonts w:ascii="Times New Roman" w:eastAsia="Arial" w:hAnsi="Times New Roman" w:cs="Times New Roman"/>
          <w:lang w:val="uk-UA" w:eastAsia="uk-UA"/>
        </w:rPr>
        <w:t>.</w:t>
      </w:r>
    </w:p>
    <w:p w14:paraId="125B8A99" w14:textId="77777777" w:rsidR="00C83FEE" w:rsidRPr="00C83FEE" w:rsidRDefault="00C83FEE" w:rsidP="00C83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5CE0BB30" w14:textId="77777777" w:rsidR="00C83FEE" w:rsidRPr="00C83FEE" w:rsidRDefault="00C83FEE" w:rsidP="00C83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97446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4. ОРГАНІЗАЦІЯ РОБОТИ НАГЛЯДОВОЇ РАДИ</w:t>
      </w:r>
    </w:p>
    <w:p w14:paraId="347A15B4" w14:textId="77777777" w:rsidR="00C83FEE" w:rsidRPr="00C83FEE" w:rsidRDefault="00C83FEE" w:rsidP="00C83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4A9F5822" w14:textId="77777777" w:rsidR="00C83FEE" w:rsidRPr="00C83FEE" w:rsidRDefault="00C83FEE" w:rsidP="00897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4.1. Засідання наглядової ради проводяться не рідше одного разу на квартал і є правомочними, якщо </w:t>
      </w:r>
      <w:r w:rsidR="00897446" w:rsidRPr="00897446">
        <w:rPr>
          <w:rFonts w:ascii="Times New Roman" w:eastAsia="Times New Roman" w:hAnsi="Times New Roman" w:cs="Times New Roman"/>
          <w:color w:val="000000"/>
          <w:lang w:val="uk-UA" w:eastAsia="ru-RU"/>
        </w:rPr>
        <w:t>в ньому бере участь більше половини її складу.</w:t>
      </w:r>
    </w:p>
    <w:p w14:paraId="5E04DD9A" w14:textId="77777777" w:rsidR="00C83FEE" w:rsidRPr="00C83FEE" w:rsidRDefault="00C83FEE" w:rsidP="00897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4.2. Рішення наглядової ради приймаються простою більшістю голосів присутніх на засіданні. Кожний член наглядової ради має один голос. У разі розподілу голосів порівну голос голови ради є вирішальним.</w:t>
      </w:r>
    </w:p>
    <w:p w14:paraId="7BB64132" w14:textId="77777777" w:rsidR="00C83FEE" w:rsidRPr="00C83FEE" w:rsidRDefault="00C83FEE" w:rsidP="00897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4.3. Голова наглядової ради Товариства:</w:t>
      </w:r>
    </w:p>
    <w:p w14:paraId="19F01CB8" w14:textId="77777777" w:rsidR="00C83FEE" w:rsidRPr="00C83FEE" w:rsidRDefault="00C83FEE" w:rsidP="00897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- організовує роботу наглядової ради;</w:t>
      </w:r>
    </w:p>
    <w:p w14:paraId="2B8A7492" w14:textId="77777777" w:rsidR="00C83FEE" w:rsidRPr="00C83FEE" w:rsidRDefault="00C83FEE" w:rsidP="00897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- </w:t>
      </w:r>
      <w:proofErr w:type="spellStart"/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скликає</w:t>
      </w:r>
      <w:proofErr w:type="spellEnd"/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засідання наглядової ради;</w:t>
      </w:r>
    </w:p>
    <w:p w14:paraId="79A6C194" w14:textId="77777777" w:rsidR="00C83FEE" w:rsidRPr="00C83FEE" w:rsidRDefault="00C83FEE" w:rsidP="00897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- головує на засіданнях наглядової ради;</w:t>
      </w:r>
    </w:p>
    <w:p w14:paraId="0D5D41FB" w14:textId="77777777" w:rsidR="00C83FEE" w:rsidRPr="00C83FEE" w:rsidRDefault="00C83FEE" w:rsidP="00897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- забезпечує ведення протоколів засідань наглядової ради;</w:t>
      </w:r>
    </w:p>
    <w:p w14:paraId="4DB8ED5C" w14:textId="77777777" w:rsidR="00C83FEE" w:rsidRPr="00C83FEE" w:rsidRDefault="00C83FEE" w:rsidP="00897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- здійснює інші функції, необхідні для організації діяльності наглядової ради.</w:t>
      </w:r>
    </w:p>
    <w:p w14:paraId="4A76BE95" w14:textId="77777777" w:rsidR="00C83FEE" w:rsidRPr="00C83FEE" w:rsidRDefault="00C83FEE" w:rsidP="00897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4.4. У разі неможливості виконання головою наглядової ради своїх повноважень його повноваження здійснює заступник голови, який обирається з-поміж членів ради.</w:t>
      </w:r>
    </w:p>
    <w:p w14:paraId="487A4401" w14:textId="77777777" w:rsidR="00C83FEE" w:rsidRPr="00C83FEE" w:rsidRDefault="00C83FEE" w:rsidP="00897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4.5. Про проведення засідання наглядової ради її члени повинні бути повідомлені головою ради не пізніше ніж за п`ять робочих днів до дати засідання. Повідомлення має містити відомості про дату, час і місце проведення засідання, а також порядок денний засідання. До повідомлення додаються документи, які необхідні для розгляду питань порядку денного. Питання, що не вказані в повідомленні, не можуть розглядатися на засіданні.</w:t>
      </w:r>
    </w:p>
    <w:p w14:paraId="158FA718" w14:textId="77777777" w:rsidR="00C83FEE" w:rsidRPr="00C83FEE" w:rsidRDefault="00C83FEE" w:rsidP="00897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4.6. Засідання наглядової ради Товариства скликаються за ініціативою голови ради або на вимогу члена наглядової ради Товариства. Засідання наглядової ради також скликаються на вимогу акціонера, ревізійної комісії, </w:t>
      </w:r>
      <w:r w:rsidR="00897446">
        <w:rPr>
          <w:rFonts w:ascii="Times New Roman" w:eastAsia="Times New Roman" w:hAnsi="Times New Roman" w:cs="Times New Roman"/>
          <w:color w:val="000000"/>
          <w:lang w:val="uk-UA" w:eastAsia="ru-RU"/>
        </w:rPr>
        <w:t>генерального директора</w:t>
      </w: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. На вимогу наглядової ради Товариства в її засіданні беруть участь </w:t>
      </w:r>
      <w:r w:rsidR="00897446">
        <w:rPr>
          <w:rFonts w:ascii="Times New Roman" w:eastAsia="Times New Roman" w:hAnsi="Times New Roman" w:cs="Times New Roman"/>
          <w:color w:val="000000"/>
          <w:lang w:val="uk-UA" w:eastAsia="ru-RU"/>
        </w:rPr>
        <w:t>генеральний директор</w:t>
      </w: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</w:p>
    <w:p w14:paraId="4309F732" w14:textId="77777777" w:rsidR="00C83FEE" w:rsidRPr="00C83FEE" w:rsidRDefault="00C83FEE" w:rsidP="00897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4.7. У засіданні наглядової ради на її запрошення з правом дорадчого голосу можуть брати участь представники профспілкового або іншого уповноваженого трудовим колективом органу, який підписав колективний договір від імені трудового колективу.</w:t>
      </w:r>
    </w:p>
    <w:p w14:paraId="705D0AD5" w14:textId="77777777" w:rsidR="00C83FEE" w:rsidRPr="00C83FEE" w:rsidRDefault="00C83FEE" w:rsidP="00897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4.8. Секретар наглядової ради веде </w:t>
      </w:r>
      <w:r w:rsidR="00897446">
        <w:rPr>
          <w:rFonts w:ascii="Times New Roman" w:eastAsia="Times New Roman" w:hAnsi="Times New Roman" w:cs="Times New Roman"/>
          <w:color w:val="000000"/>
          <w:lang w:val="uk-UA" w:eastAsia="ru-RU"/>
        </w:rPr>
        <w:t>протоколи</w:t>
      </w: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засідань наглядової ради Товариства, діловодство та іншу документацію ради.</w:t>
      </w:r>
    </w:p>
    <w:p w14:paraId="3C758D22" w14:textId="12CE2188" w:rsidR="00C83FEE" w:rsidRPr="00C83FEE" w:rsidRDefault="00C83FEE" w:rsidP="00897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4.9. Протокол засідання наглядової ради оформлюється протягом п'яти днів після проведення засідання. Протокол підписується голов</w:t>
      </w:r>
      <w:r w:rsidR="00FC67A4">
        <w:rPr>
          <w:rFonts w:ascii="Times New Roman" w:eastAsia="Times New Roman" w:hAnsi="Times New Roman" w:cs="Times New Roman"/>
          <w:color w:val="000000"/>
          <w:lang w:val="uk-UA" w:eastAsia="ru-RU"/>
        </w:rPr>
        <w:t>ою</w:t>
      </w: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і усіма членами ради, які були на ньому присутні. Зауваження члена наглядової ради Товариства, який не згоден з ухваленим наглядовою радою рішенням</w:t>
      </w:r>
      <w:r w:rsidR="00FC67A4">
        <w:rPr>
          <w:rFonts w:ascii="Times New Roman" w:eastAsia="Times New Roman" w:hAnsi="Times New Roman" w:cs="Times New Roman"/>
          <w:color w:val="000000"/>
          <w:lang w:val="uk-UA" w:eastAsia="ru-RU"/>
        </w:rPr>
        <w:t>,</w:t>
      </w: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вносяться до протоколу засідання.</w:t>
      </w:r>
    </w:p>
    <w:p w14:paraId="04B41FA8" w14:textId="77777777" w:rsidR="00C83FEE" w:rsidRPr="00C83FEE" w:rsidRDefault="00C83FEE" w:rsidP="00897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lastRenderedPageBreak/>
        <w:t>4.10. Рішення наглядової ради можуть прийматися шляхом заочного голосування (опитування).</w:t>
      </w:r>
    </w:p>
    <w:p w14:paraId="0D2F1C64" w14:textId="77777777" w:rsidR="00C83FEE" w:rsidRPr="00C83FEE" w:rsidRDefault="00C83FEE" w:rsidP="00897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4.11. Протоколи засідань наглядової ради або завірені витяги з них повинні бути доступними для ознайомлення будь-якому члену наглядової ради або його представнику за місцезнаходженням Товариства, або в іншому, визначеному наглядовою радою, місці протягом робочого часу.</w:t>
      </w:r>
    </w:p>
    <w:p w14:paraId="6360F02F" w14:textId="77777777" w:rsidR="00C83FEE" w:rsidRPr="00C83FEE" w:rsidRDefault="00C83FEE" w:rsidP="00897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4.12. Наглядова рада надає загальним зборам акціонерів Товариства щорічний звіт про свою діяльність.</w:t>
      </w:r>
    </w:p>
    <w:p w14:paraId="18EB1C55" w14:textId="77777777" w:rsidR="00C83FEE" w:rsidRPr="00C83FEE" w:rsidRDefault="00C83FEE" w:rsidP="00897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4.13. Наглядова рада не має права втручатися в оперативну діяльність </w:t>
      </w:r>
      <w:r w:rsidR="00897446">
        <w:rPr>
          <w:rFonts w:ascii="Times New Roman" w:eastAsia="Times New Roman" w:hAnsi="Times New Roman" w:cs="Times New Roman"/>
          <w:color w:val="000000"/>
          <w:lang w:val="uk-UA" w:eastAsia="ru-RU"/>
        </w:rPr>
        <w:t>Генерального директора</w:t>
      </w: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Товариства.</w:t>
      </w:r>
    </w:p>
    <w:p w14:paraId="0EAAB9E1" w14:textId="77777777" w:rsidR="00C83FEE" w:rsidRPr="00C83FEE" w:rsidRDefault="00C83FEE" w:rsidP="00897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4.14. Посадові особи органів Товариства забезпечують членам наглядової ради доступ до інформації в межах, необхідних для виконання функцій ради, передбачених законом, статутом Товариства, а також цим Положенням.</w:t>
      </w:r>
    </w:p>
    <w:p w14:paraId="46A9ADC7" w14:textId="77777777" w:rsidR="00C83FEE" w:rsidRPr="00C83FEE" w:rsidRDefault="00C83FEE" w:rsidP="00897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4.15. Забезпечення діяльності наглядової ради здійснюється за рахунок Товариства в межах затвердженого рішенням загальних зборів акціонерів Товариства кошторису.</w:t>
      </w:r>
    </w:p>
    <w:p w14:paraId="767C783E" w14:textId="77777777" w:rsidR="00C83FEE" w:rsidRPr="00C83FEE" w:rsidRDefault="00C83FEE" w:rsidP="00897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201DD145" w14:textId="77777777" w:rsidR="00C83FEE" w:rsidRPr="00C83FEE" w:rsidRDefault="00C83FEE" w:rsidP="00897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5. ОПЛАТА ПРАЦІ</w:t>
      </w:r>
    </w:p>
    <w:p w14:paraId="32F20987" w14:textId="77777777" w:rsidR="00C83FEE" w:rsidRPr="00C83FEE" w:rsidRDefault="00C83FEE" w:rsidP="00897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0A644222" w14:textId="2BF6C505" w:rsidR="00C83FEE" w:rsidRPr="00C91BC9" w:rsidRDefault="00C83FEE" w:rsidP="00897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5.1. За виконання обов’язків голові та членам наглядової ради Товариства </w:t>
      </w:r>
      <w:r w:rsidR="00490A97">
        <w:rPr>
          <w:rFonts w:ascii="Times New Roman" w:eastAsia="Times New Roman" w:hAnsi="Times New Roman" w:cs="Times New Roman"/>
          <w:color w:val="000000"/>
          <w:lang w:val="uk-UA" w:eastAsia="ru-RU"/>
        </w:rPr>
        <w:t>може виплачуватись винагорода</w:t>
      </w: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  <w:r w:rsidR="00490A9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При цьому в</w:t>
      </w:r>
      <w:r w:rsidR="00490A97" w:rsidRPr="00C91BC9">
        <w:rPr>
          <w:rFonts w:ascii="Times New Roman" w:eastAsia="Arial" w:hAnsi="Times New Roman" w:cs="Times New Roman"/>
          <w:lang w:val="uk-UA" w:eastAsia="uk-UA"/>
        </w:rPr>
        <w:t>иплат</w:t>
      </w:r>
      <w:r w:rsidR="00490A97">
        <w:rPr>
          <w:rFonts w:ascii="Times New Roman" w:eastAsia="Arial" w:hAnsi="Times New Roman" w:cs="Times New Roman"/>
          <w:lang w:val="uk-UA" w:eastAsia="uk-UA"/>
        </w:rPr>
        <w:t xml:space="preserve">а такої </w:t>
      </w:r>
      <w:r w:rsidR="00490A97" w:rsidRPr="00C91BC9">
        <w:rPr>
          <w:rFonts w:ascii="Times New Roman" w:eastAsia="Arial" w:hAnsi="Times New Roman" w:cs="Times New Roman"/>
          <w:lang w:val="uk-UA" w:eastAsia="uk-UA"/>
        </w:rPr>
        <w:t>винагороди член</w:t>
      </w:r>
      <w:r w:rsidR="00490A97">
        <w:rPr>
          <w:rFonts w:ascii="Times New Roman" w:eastAsia="Arial" w:hAnsi="Times New Roman" w:cs="Times New Roman"/>
          <w:lang w:val="uk-UA" w:eastAsia="uk-UA"/>
        </w:rPr>
        <w:t>ам</w:t>
      </w:r>
      <w:r w:rsidR="00490A97" w:rsidRPr="00C91BC9">
        <w:rPr>
          <w:rFonts w:ascii="Times New Roman" w:eastAsia="Arial" w:hAnsi="Times New Roman" w:cs="Times New Roman"/>
          <w:lang w:val="uk-UA" w:eastAsia="uk-UA"/>
        </w:rPr>
        <w:t xml:space="preserve"> Наглядової ради </w:t>
      </w:r>
      <w:r w:rsidR="00490A97">
        <w:rPr>
          <w:rFonts w:ascii="Times New Roman" w:eastAsia="Arial" w:hAnsi="Times New Roman" w:cs="Times New Roman"/>
          <w:lang w:val="uk-UA" w:eastAsia="uk-UA"/>
        </w:rPr>
        <w:t>з</w:t>
      </w:r>
      <w:r w:rsidR="00490A97"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а виконання </w:t>
      </w:r>
      <w:r w:rsidR="00490A9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своїх </w:t>
      </w:r>
      <w:r w:rsidR="00490A97"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обов’язків</w:t>
      </w:r>
      <w:r w:rsidR="00490A97" w:rsidRPr="00490A97">
        <w:rPr>
          <w:rFonts w:ascii="Times New Roman" w:eastAsia="Arial" w:hAnsi="Times New Roman" w:cs="Times New Roman"/>
          <w:lang w:val="uk-UA" w:eastAsia="uk-UA"/>
        </w:rPr>
        <w:t xml:space="preserve"> </w:t>
      </w:r>
      <w:r w:rsidR="00490A97" w:rsidRPr="00C91BC9">
        <w:rPr>
          <w:rFonts w:ascii="Times New Roman" w:eastAsia="Arial" w:hAnsi="Times New Roman" w:cs="Times New Roman"/>
          <w:lang w:val="uk-UA" w:eastAsia="uk-UA"/>
        </w:rPr>
        <w:t>визнача</w:t>
      </w:r>
      <w:r w:rsidR="00490A97" w:rsidRPr="00490A97">
        <w:rPr>
          <w:rFonts w:ascii="Times New Roman" w:eastAsia="Arial" w:hAnsi="Times New Roman" w:cs="Times New Roman"/>
          <w:lang w:val="uk-UA" w:eastAsia="uk-UA"/>
        </w:rPr>
        <w:t>є</w:t>
      </w:r>
      <w:r w:rsidR="00490A97" w:rsidRPr="00C91BC9">
        <w:rPr>
          <w:rFonts w:ascii="Times New Roman" w:eastAsia="Arial" w:hAnsi="Times New Roman" w:cs="Times New Roman"/>
          <w:lang w:val="uk-UA" w:eastAsia="uk-UA"/>
        </w:rPr>
        <w:t>ться цивільно-правовим чи трудовим договором (контрактом)</w:t>
      </w:r>
      <w:r w:rsidR="00490A97">
        <w:rPr>
          <w:rFonts w:ascii="Times New Roman" w:eastAsia="Arial" w:hAnsi="Times New Roman" w:cs="Times New Roman"/>
          <w:lang w:val="uk-UA" w:eastAsia="uk-UA"/>
        </w:rPr>
        <w:t xml:space="preserve"> (який може бути оплатним чи безоплатним)</w:t>
      </w:r>
      <w:r w:rsidR="00490A97" w:rsidRPr="00C91BC9">
        <w:rPr>
          <w:rFonts w:ascii="Times New Roman" w:eastAsia="Arial" w:hAnsi="Times New Roman" w:cs="Times New Roman"/>
          <w:lang w:val="uk-UA" w:eastAsia="uk-UA"/>
        </w:rPr>
        <w:t>, що укладається з членом Наглядової ради</w:t>
      </w:r>
      <w:r w:rsidR="00490A97">
        <w:rPr>
          <w:rFonts w:ascii="Times New Roman" w:eastAsia="Arial" w:hAnsi="Times New Roman" w:cs="Times New Roman"/>
          <w:lang w:val="uk-UA" w:eastAsia="uk-UA"/>
        </w:rPr>
        <w:t xml:space="preserve"> </w:t>
      </w:r>
      <w:r w:rsidR="00490A97" w:rsidRPr="00C91BC9">
        <w:rPr>
          <w:rFonts w:ascii="Times New Roman" w:eastAsia="Arial" w:hAnsi="Times New Roman" w:cs="Times New Roman"/>
          <w:lang w:val="uk-UA" w:eastAsia="uk-UA"/>
        </w:rPr>
        <w:t>на умовах, затверджених рішенням Загальних зборів</w:t>
      </w:r>
      <w:r w:rsidR="00490A97">
        <w:rPr>
          <w:rFonts w:ascii="Times New Roman" w:eastAsia="Arial" w:hAnsi="Times New Roman" w:cs="Times New Roman"/>
          <w:lang w:val="uk-UA" w:eastAsia="uk-UA"/>
        </w:rPr>
        <w:t>.</w:t>
      </w:r>
      <w:r w:rsidR="00490A97" w:rsidRPr="00C91BC9">
        <w:rPr>
          <w:rFonts w:ascii="Times New Roman" w:eastAsia="Arial" w:hAnsi="Times New Roman" w:cs="Times New Roman"/>
          <w:lang w:val="uk-UA" w:eastAsia="uk-UA"/>
        </w:rPr>
        <w:t xml:space="preserve"> </w:t>
      </w:r>
    </w:p>
    <w:p w14:paraId="4349CDC5" w14:textId="77777777" w:rsidR="00C83FEE" w:rsidRPr="00490A97" w:rsidRDefault="00C83FEE" w:rsidP="00897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90A97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0167D9FC" w14:textId="77777777" w:rsidR="00C83FEE" w:rsidRPr="00C83FEE" w:rsidRDefault="00C83FEE" w:rsidP="00897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6. ВІДПОВІДАЛЬНІСТЬ ЧЛЕНІВ НАГЛЯДОВОЇ РАДИ</w:t>
      </w:r>
    </w:p>
    <w:p w14:paraId="08223CBE" w14:textId="77777777" w:rsidR="00C83FEE" w:rsidRPr="00C83FEE" w:rsidRDefault="00C83FEE" w:rsidP="00897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2480EE3D" w14:textId="77777777" w:rsidR="00C83FEE" w:rsidRPr="00C83FEE" w:rsidRDefault="00C83FEE" w:rsidP="00897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6.1. Голова і члени наглядової ради несуть відповідальність за виконання своїх обов'язків та рішень загальних зборів акціонерів згідно умов цивільно-правового або трудового договору, який укладається ними, а також чинного законодавства України</w:t>
      </w:r>
    </w:p>
    <w:p w14:paraId="01405565" w14:textId="77777777" w:rsidR="00C83FEE" w:rsidRPr="00C83FEE" w:rsidRDefault="00C83FEE" w:rsidP="00897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1C18BA81" w14:textId="77777777" w:rsidR="00C83FEE" w:rsidRPr="00C83FEE" w:rsidRDefault="00C83FEE" w:rsidP="00897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7. ЗАКЛЮЧНІ ПОЛОЖЕННЯ</w:t>
      </w:r>
    </w:p>
    <w:p w14:paraId="7BB7A889" w14:textId="77777777" w:rsidR="00C83FEE" w:rsidRPr="00C83FEE" w:rsidRDefault="00C83FEE" w:rsidP="00897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4FC99045" w14:textId="77777777" w:rsidR="00C83FEE" w:rsidRPr="00C83FEE" w:rsidRDefault="00C83FEE" w:rsidP="00CF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7.1. Це Положення набуває чинності від дня його затвердження загальними зборами акціонерів.</w:t>
      </w:r>
    </w:p>
    <w:p w14:paraId="02B094B1" w14:textId="77777777" w:rsidR="00BF664A" w:rsidRDefault="00C83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7.2. Зміни та доповнення до цього Положення можуть вноситися на розгляд загальних зборів акціонерів органами Товариства та набувають чинності після їх затвердження</w:t>
      </w:r>
      <w:r w:rsidR="00CF7B2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загальними зборами акціонерів Товариства</w:t>
      </w: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</w:p>
    <w:p w14:paraId="4B44F3D0" w14:textId="77777777" w:rsidR="00BF664A" w:rsidRDefault="00BF664A" w:rsidP="00897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bookmarkEnd w:id="0"/>
    <w:p w14:paraId="123E75EF" w14:textId="215BFE62" w:rsidR="00BF664A" w:rsidRPr="00BF664A" w:rsidRDefault="00BF664A" w:rsidP="005827EF">
      <w:pPr>
        <w:shd w:val="clear" w:color="auto" w:fill="FFFFFF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</w:p>
    <w:sectPr w:rsidR="00BF664A" w:rsidRPr="00BF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32E7"/>
    <w:multiLevelType w:val="singleLevel"/>
    <w:tmpl w:val="62724342"/>
    <w:lvl w:ilvl="0">
      <w:start w:val="1"/>
      <w:numFmt w:val="decimal"/>
      <w:lvlText w:val="8.3.%1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8FC778F"/>
    <w:multiLevelType w:val="hybridMultilevel"/>
    <w:tmpl w:val="E6608E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32647"/>
    <w:multiLevelType w:val="multilevel"/>
    <w:tmpl w:val="F4EEF83A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EE"/>
    <w:rsid w:val="001F40C5"/>
    <w:rsid w:val="00485B7D"/>
    <w:rsid w:val="00490A97"/>
    <w:rsid w:val="00567DEF"/>
    <w:rsid w:val="005827EF"/>
    <w:rsid w:val="005E6EB1"/>
    <w:rsid w:val="00786C96"/>
    <w:rsid w:val="00897446"/>
    <w:rsid w:val="00A66882"/>
    <w:rsid w:val="00BF664A"/>
    <w:rsid w:val="00C83FEE"/>
    <w:rsid w:val="00C91BC9"/>
    <w:rsid w:val="00CF7B23"/>
    <w:rsid w:val="00F55426"/>
    <w:rsid w:val="00FC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C5B9"/>
  <w15:chartTrackingRefBased/>
  <w15:docId w15:val="{F2470ACC-21E7-41B1-AA75-CA093812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83FEE"/>
    <w:rPr>
      <w:b/>
      <w:bCs/>
    </w:rPr>
  </w:style>
  <w:style w:type="character" w:styleId="Emphasis">
    <w:name w:val="Emphasis"/>
    <w:basedOn w:val="DefaultParagraphFont"/>
    <w:uiPriority w:val="20"/>
    <w:qFormat/>
    <w:rsid w:val="00C83FEE"/>
    <w:rPr>
      <w:i/>
      <w:iCs/>
    </w:rPr>
  </w:style>
  <w:style w:type="paragraph" w:styleId="ListParagraph">
    <w:name w:val="List Paragraph"/>
    <w:basedOn w:val="Normal"/>
    <w:uiPriority w:val="34"/>
    <w:qFormat/>
    <w:rsid w:val="00485B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8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8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8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59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067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393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544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588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005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298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55163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24811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1881</Words>
  <Characters>10725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PC_259784</dc:creator>
  <cp:keywords/>
  <dc:description/>
  <cp:lastModifiedBy>PC_259784</cp:lastModifiedBy>
  <cp:revision>3</cp:revision>
  <dcterms:created xsi:type="dcterms:W3CDTF">2016-04-26T11:03:00Z</dcterms:created>
  <dcterms:modified xsi:type="dcterms:W3CDTF">2016-04-26T11:05:00Z</dcterms:modified>
</cp:coreProperties>
</file>