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EA" w:rsidRPr="004B0D28" w:rsidRDefault="009C71EA" w:rsidP="009C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9C71EA" w:rsidRDefault="009C71EA" w:rsidP="009C71EA">
      <w:pPr>
        <w:spacing w:after="300"/>
        <w:jc w:val="center"/>
        <w:outlineLvl w:val="2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>Примітки до фінансової звітності, складені відповідно до міжнародних стандартів фінансової звітності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Прим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тки до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чної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ПАТ "Цукровий завод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Цюрупи" станом на 31 грудня 2015 року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1. ЗАГАЛЬНА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1.1</w:t>
      </w: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ПАТ "Цукровий завод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м. Цюрупи" (дал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- Товариство, Компан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я) зареєстроване в 03 кв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тня 1995 року за законодавством України.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1.2</w:t>
      </w: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 Юридична адреса Товариства: вул. Заводська,  5, с. Андрушки,  Поп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льнянського р-ну, Житомирської обл.,  Україна, 13543.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1.3  Основними видами 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яльност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Товариства являються: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10.81 -  Виробництво цукру;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46.11 - 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посередник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у торг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с/г сировиною, живими тваринами,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текстильною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сировиною та нап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вфабрикатами;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46.21 - Оптова торг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вля зерном, необробленим тютюном, нас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нням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кормами для тварин.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2. РИЗИКИ ТА ЕКОНОМ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УМОВИ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процес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нормального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ведення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знесу виникає можлив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впливу на 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Товариства валютного та кредитного ризик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Валютний ризик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Як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багатьох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нших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дприємств, що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йснюють свою 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 Україн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ноземн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валюти, зокрема долар США, євро та рубл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грають значну роль у процес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проведення Компан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єю багатьох тип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 Україн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Кредитний ризик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нструменти, що потенц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 можуть призвести до концентрац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кредитного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ризику Товариства, складаються в основному з деб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торської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 торговими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ями. Товариство управляє цим ризиком шляхом пост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йного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дстеження кредитоспроможност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єнт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 Щодо ризик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у зв'язку з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ною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 на продукц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ю, Товариство не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кує на зниження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 у передбачуваному майбутньому, тому не укладало деривативних або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контракт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з метою управл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ння ризиком зниження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н. Товариство переглядає перспективи щодо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 регулярно в ход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розгляду необх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активного управл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нансовим ризиком.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3. ОСНОВИ ПОДАННЯ 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Товариства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дготовлена та складена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до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жнародних стандарт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(дал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- МСФЗ) в редакц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опубл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Радою з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жнародних стандарт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(Рада з МСФЗ) та пояснень, опубл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кованих  зг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 вимог МСФЗ. В наказ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кову пол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тику Товариства наведено принцип, за яким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кова пол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тика повинна застосовуватися так, щоб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повн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дала вимогам Закону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кожному конкретному МСФЗ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П(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С)БО. При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снуванн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суперечностей у вимогах до ведення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ку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розкриття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у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ж МСФЗ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П(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С)БО пр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оритет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ддається МСФЗ.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на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лей, передбачених законодавством України, складається у формат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затвердженому нац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ональними положеннями (стандартами) бухгалтерського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ку, для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лей складається у формат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передбаченому МСФЗ.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4. ОСНОВН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ПОЛОЖЕННЯ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КОВОЇ ПОЛ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ТИКИ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Основа складання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Товариства складається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до МСФЗ на основ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принципу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сторичної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за винятком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утримуваних для продажу, що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дображаються за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справедливою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стю. Товариство веде бухгалтерський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 та складає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 гривн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(грн.)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до Положень (стандарт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в) бухгалтерського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України (дал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-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П(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С)БО). Зг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дно з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жнародним стандартом бухгалтерського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(МСБО) 21 "Вплив 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 валютних курс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в" та його тлумаченням, валютою вим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ру, яка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дображає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чну суть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дних 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та обставин Товариства, є гривня.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lastRenderedPageBreak/>
        <w:t>Перех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на МСФЗ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йснено з 01.01.2011 р. зг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МСФЗ 1 "Перше застосування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жнародних стандарт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" (дал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- МСФЗ 1). Представлена 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має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яку Товариство складає зг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з нормативними вимогами в Україн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оск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льки включає певн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коригування, не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бухгалтерському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Товариства,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є необх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дними для представлення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та зобов'язань,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нансових результат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та руху грошових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Товариства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до МСФЗ.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коригування стосуються: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1)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списання актив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дають критер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ям його визнання;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2)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перекласиф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кац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доход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та витрат;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3)</w:t>
      </w: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подання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щодо виправлення помилок минулих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Керуючись МСФЗ 1, Товариство прийняло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шення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нювати об'єкти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за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справедливою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на дату переходу на МСФЗ (умовно-перв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сна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сть).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донарахування були проведен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 попередн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 МСФЗ.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Використання 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нок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Складання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вимагає використання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нок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припущень, що впливають на суми, зазначен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 прим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тках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до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неї. Припущення та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дносяться в основному до визначення терм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експлуатац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 запас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визнання та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 забезпечень, погашення майбутн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чних вигод.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нки базуються на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що була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дома на момент складання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 Вони визначаються на основ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найб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 ймов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рного сценар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 майбутнього розвитку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знесу Товариства (включаючи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знес-середовище). 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нки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умови,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лежать в основ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їх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кування, регулярно переглядаються. Фактичний вплив цих припущень може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знятися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його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 на час складання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якщо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знес-умови розвиваються не так, як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кувала Компан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я. Як 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льки стає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дома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нова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я, яка впливає на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нки,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в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результати (Зв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сукупний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д)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нюються припущення.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Операц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ї 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ноземн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валют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Операц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ї  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ноземних валютах  на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 не проводяться.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Нематер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Нематер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 з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нцевими терм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нами використання, придбан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рамках окремих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враховуються за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придбання за вирахуванням накопиченої амортизац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накопиченого збитку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знец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нення.  Амортизац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я нараховується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рно протягом терм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ну корисного використання нематер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альних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 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терм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ни корисного використання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метод нарахування амортизац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анал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зуються на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нець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кожного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тного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оду, при цьому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ни в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нках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дбиваються в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без перерахування пор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вняльних показник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засоби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засоби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за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придбання за вирахуванням накопиченої амортизац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на дату останнього балансу та будь-яких накопичених збитк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зменшення корисност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 Активи, терм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ном корисного використання менше 1 року та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менше 1 000,00 грн., а з 2012 р. - менше 2 500,00 грн., не визнаються у склад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амортизуються, а списуються безпосередньо на витрати при введенн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експлуатац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З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метою наближення бухгалтерського та податкового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на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класиф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 ОЗ та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мально допустим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строки корисного використання об'єкт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встановлено зг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вимог Податкового кодексу України, а саме: буд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 споруди - 20 рок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машини та обладнання - 15 рок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транспортн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засоби - 5 рок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йно-обчислювальне обладнання - 2 роки,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нструменти, прилади,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нвентар - 4 роки, оф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мебл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- 4 роки,,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засоби - 5 рок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Витрати, понесен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введення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 експлуатац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ю, наприклад, поточний ремонт, техн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чне обслуговування та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тальний ремонт, як правило,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результати (Зв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сукупний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д) 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в якому вони були понесен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 У ситуац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ях, коли можна 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тко довести, що зазначен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витрати призвели до зб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льшення майбутн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чних вигод, що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куються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використання об'єкту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понад перв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сно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вигоди, так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витрати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зуються як додаткова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lastRenderedPageBreak/>
        <w:t>Прибуток або збиток, що виникає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припинення визнання об'єкта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активом, визнається як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зниця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 чистими надходженнями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 вибуття та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балансовою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об'єкта.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нка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списується на нерозпод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лений прибуток одночасно з використанням об'єкта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йна власн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За МСФЗ 40 до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йної власност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дносяться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засоби,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призначен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передач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оренду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ншим особам. Якщо об'єкт основних засоб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частково використовується для власних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лей, а частково для отримання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передач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оренду,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 визнається об'єктом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йної власност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льки тод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якщо основним джерелом доходу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його використання є надходження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оренди (б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 50%).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 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нансових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дносяться: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асоц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утримуван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для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продажу.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 асоц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йованих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дносяться 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дприємства, в яких Товариство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йснює значний вплив, але не контроль, на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нансову та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йну пол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тику.  Якщо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нше не очевидне, волод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ння 20% або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 голос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дношенн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 об'єкта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нвестування приводить до виникнення значного впливу.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асоц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ковуються за методом дольової участ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утримуван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продажу,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ковуються за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справедливою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стю. Зм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ни в справедлив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визнаються в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результати (Зв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сукупний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д).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 складаються з гот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вки в кас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 грошових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на банк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вських рахунках. За МСФЗ лепозити, з терм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ном погашення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 12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сяц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ковуються у склад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необоротних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Деб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Деб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визнається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дображається за амортизованою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стю, застосовуючи метод ефективного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дсотка, за вирахуванням збитк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зменшення корисност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Визначення резерву п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сумн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вну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йснюється у випадку, коли отримання суми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повному обсяз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 не вважається ймов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рним. Резерв сумн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вних борг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визнається в розм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абсолютної сумн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вної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днесенн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деб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тора до сумн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вних. Безнад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списується, коли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про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неї стає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домо.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Запаси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Запаси визнаються, 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нюються та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в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та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 дотриманням вимог МСБО-2. За одиницю запас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 вважається конкретне найменування товару чи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запас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 Транспортно-загот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вельн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витрати узагальнюються на окремому субрахунку з щом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сячним розпод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лом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 залишком запас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та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зованими запасами. Запаси складаються, головним чином,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з сировини та матер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призначен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використання у виробництв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готової продукц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ї. Запаси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в бухгалтерському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за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нка запас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матер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при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дпуску у виробництво та продаж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йснюється за методом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ФО (соб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перших за часом надходження запас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в), а  також купованих товар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при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продажу їх у роздр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б. Запас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в, одержаних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дприємством безоплатно, не було. У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лях класиф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тривал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йного циклу вважається 3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сяц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. 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онерний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Прост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 Товариства визнаються за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справедливою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компенсац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ї, отриманої за них  Товариством.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Управл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ння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талом: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Основна задача Товариства при управл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талом - збереження можливост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безперервно функц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онувати з метою забезпечення необх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дної прибутковост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онерам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кавленим сторонам, а також збереження оптимальної структури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зниження його 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Для п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дтримання структури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його коригування Товариство може коригувати суму див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денд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належну до виплати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онерам, провести повернення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талу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онерам, випустити нов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продати активи для зниження заборгованостей або залучити нов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кредити.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Процентн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кредити та позики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lastRenderedPageBreak/>
        <w:t>Товариством залучались безв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дсотков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позики. Їх погашення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дбувалося 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 умов договор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про позику.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Торгова та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нша кредиторська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Торгова та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нша кредиторська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дображається за амортизованою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Непередбачен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активи та непередбачен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Непередбачен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у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визнаються, кр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 випадк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коли 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рог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того, що для розрахунку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за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зобов'язанням необх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дне вибуття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чних ресурс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що може бути визначене з достатньою достов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стю.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про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розкривається, якщо можлив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вибуття ресурс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люють у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вигоди, не 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ддаленою.</w:t>
      </w:r>
      <w:proofErr w:type="gramEnd"/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Забезпечення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Забезпечення (резерви) визнаються тод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, коли у Товариства є поточне зобов'язання (юридична або потенц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йне), що виникло в результат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минулих 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для погашення якого, ймов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рно, потр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бне вибуття ресурс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що вт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люють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вигоди,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при цьому можна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йснити достов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рну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нку даного зобов'язання.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З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метою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рного розпод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лу затрат протягом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тного року Товариством створено резерв для забезпечення оплати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дпусток. В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кожного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року проводиться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нвентаризац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невикористаних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дпусток та розм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ру резерву для забезпечення оплати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дпусток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при необх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проводиться коригування  розм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ру резерву  для забезпечення оплати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дпусток.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Забезпечення переглядаються та коригуються для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дображення поточної найкращої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нки. Якщо вже немає ймов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що вибуття ресурс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котр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люють у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вигоди, буде потр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бним для погашення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, забезпечення сторнується.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Визнання доход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та витрат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визнається за принципом нарахування, коли є впевнен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сть, що в результат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дбудеться зб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льшення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чних вигод Товариства, а сума доходу може бути достов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рно визначена. Дох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визначається без податку на додану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податк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з продажу та знижок. Дох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визнається, коли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дбулося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двантаження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значн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ризики та вигоди, пов'язан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 правом власност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 товари, переходять до покупця.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Витрати, пов'язан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 отриманням доходу, визнаються одночасно з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дним доходом. Витрати обл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ковуються по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понесення та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дображення в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результати (Зв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сукупний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д) 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Податок на прибуток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дстрочений податок на прибуток нараховується за методом зобов'язань за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ма тимчасовими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зницями на дату балансу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ж податковими базами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зобов'язань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їх балансовою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для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лей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ку.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дстрочен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податков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визнаються щодо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оподаткованих тимчасових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зниць.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дстрочен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податков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 визнаються щодо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неоподаткованих тимчасових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зниць та перенесення на подальш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оди невикористаних податкових збитк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єю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рою, якою є ймов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рним майбутн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оподаткований прибуток, щодо якого можна використати неоподаткован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тимчасов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 невикористан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податков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збитки.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На кожну дату складання бухгалтерського балансу Товариство переглядає балансову варт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дстрочених податкових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зменшує її, коли перестає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снувати ймов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отримання достатнього податкового прибутку, що дозволило б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зувати частину або всю суму такого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дстроченого податкового активу.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дстрочен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податков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 та зобов'язання визначаються за ставками податку, застосування яких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кується 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активу або врегулювання зобов'язання, 'рунтуючись на ставках податку та податкових законах, що набули чинност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або були затверджен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 дату балансу.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Оск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льки базовою величиною для розрахунку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дстрочених податкових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(ВПА) був лише резерв на виплату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дпусток (2309,00х18%=415,62), розрахован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нець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тного року ВПА виявилися нижчими порога суттєвост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тому в баланс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Внески до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Державного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пенс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йного фонду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Товариство не має 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яких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пенс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йних програм, кр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 державної пенс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йної системи України, що вимагає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роботодавця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йснення поточних внеск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розраховуються як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дсоткова частка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загальної суми зароб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тної плати.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витрати в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результати (Зв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 сукупний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д)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дносяться до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оду, в якому нараховується зароб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тна плата. Кр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м цього, в </w:t>
      </w:r>
      <w:r>
        <w:rPr>
          <w:rFonts w:ascii="Courier New" w:hAnsi="Courier New" w:cs="Courier New"/>
          <w:sz w:val="20"/>
          <w:szCs w:val="20"/>
          <w:lang w:eastAsia="uk-UA"/>
        </w:rPr>
        <w:lastRenderedPageBreak/>
        <w:t xml:space="preserve">Товариства не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снує програм додаткових виплат при виход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 пенс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ю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компенсац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йних програм,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 потребували додаткових нарахувань.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тної дати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тної дати, що надають додаткову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 про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нансовий стан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 на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тну дату (коригуюч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ї),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у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 Под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ї, що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дбулися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тної дати,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є коригуючими 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ями,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дображаються в прим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тках до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, якщо вони є суттєвими.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З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початку поточного року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дписання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таких 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не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дбулося.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Необоротн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активи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Матер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Земл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Будинки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споруди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Машини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обладнання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Транспортн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засоби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нструменти, прилади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нвентар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засоби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необоротн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матер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Основн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засоби, 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1010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Незавершене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тальне буд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вництво та обладнання,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яке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потребує монтажу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1005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Матер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активи, 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В бухгалтерському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Товариства числиться лише один об'єкт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- системний блок разом з мон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тором, принтером та комплектуючими, який класиф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кується за характером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способом можливого використання в 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яльност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Товариства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до МСБО 16 "Основн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засоби", але на дату балансу не використовується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майбутньому Товариство не має нам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щодо його використання.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 причин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його амортизац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я не нараховується.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нка цього об'єкта основних засоб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його визнання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йснена за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стю,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 ведеться зг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 встановленого плану рахунк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бухгалтерського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 (на 106 рахунку).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2.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Ф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     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сум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30 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 обл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ковуються на 141 рахунку за методом участ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 у вигляд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грошових та майнових внеск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 статутний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 створених за участю ПАТ "Цукровий завод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м. Цюрупи" 2 суб'єкт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в господарювання: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Житомирська товарна агропромислова 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ржа  - 10 000,00 грн.;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ПрАТ "Житомирцукор" - 1700 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 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12,00 грн. кожна загальною 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нальною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стю (ЗНВ) 20 400,00 грн., або 4,984 % його СК.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Оск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льки Товариство волод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 частками менше 20 % статутного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талу об'єкт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нвестування, в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лях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 МСФЗ воно визнає (класиф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є)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свої частки як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активи, доступн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продажу (п.6 МСБО-28 "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нвестиц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асоц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дприємства"). В процес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трансформац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балансу на дату першого застосування МСФЗ списан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у ВАТ "Житомирська асоц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цукрового виробництва",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якої за 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придбання в сум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45500,00 грн. не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дали критер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ям визначення активом, оск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льки  асоц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як  суб'єкт господарювання 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дована ще в 2003 роц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3.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Запаси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баланс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Товариства запаси не значаться.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4.</w:t>
      </w: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Торгова та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нша деб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4.1.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Склад короткострокової деб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торської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 поставками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 поставками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тчизняним покупцям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1125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46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За поставками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ноземним покупцям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1125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Аванси на поставки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1130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4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Заборгованост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 розрахунками з бюджетом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1135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66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т.ч. заборгованост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 податку на прибуток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1136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62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Деб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 внутр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шн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розрахунк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1145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4967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4210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нша поточна деб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сть: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т.ч. 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перед органами 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ального страхування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lastRenderedPageBreak/>
        <w:t>в т.ч. видан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 прац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вникам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т.ч. видан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позики сп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вроб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тникам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т.ч. розрахунки за претенз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ями, з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дшкодування завданих збитк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в т.ч.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нше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1155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13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19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заборгованост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 поставками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 брутто, разом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5090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4282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драхування на актуал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 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заборгованостей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1125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Загальна сума заборгованост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 поставками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 нетто, 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5090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4282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дображена деб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торська 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є поточною з терм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ном погашення до 12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сяц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4.2.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Довгострокова деб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дсутня.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5.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Показник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 в кас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1166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 в банку: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1167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Поточний рахунок гривневий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8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Поточний рахунок валютний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Корпоративн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картков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рахунки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Депозити до 1 року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грошов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активи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Грошов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кошти та їх екв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валенти, 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1165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Використання грошових кошт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чим не обмежено.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6.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онерний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онерний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 Товариства: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Зареєстрований 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онерний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тал (170149 простих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менних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нальною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10,50 грн. кожна)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1787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1787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Вилучен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ї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960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3881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3881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 минулому роц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дприємством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йснено викуп 91468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власної ем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загальною 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нальною 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стю 960414,00 грн. У зв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продано належн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дприємству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лькост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91468 штук юридичн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особ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-нерезиденту. Додатковий випуск 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 не проводився та не планується.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7.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Додатковий кап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тал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Додатковий кап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тал станом на 31.12.2015 р. складається з наступного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талу: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"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12 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 -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 у дооц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нках.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було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йснено коригування нерозпод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леного прибутку попередн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тних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на суму 5 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 у зв'язку з виявленими помилками минулого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оду.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8.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резерви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Стан короткострокових резерв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був наступним: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Показник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Резерв на оплату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дпусток прац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вникам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10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Резерв по гарант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йним ремонтам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1660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використано нарахований станом на 01.01.15 резерв на виплату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дпусток членам 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йної ком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в сум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10 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рн., а на дату балансу розраховано  резерв на виплату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дпустки прац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внику Товариства в сум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2 тис. грн.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9.</w:t>
      </w:r>
      <w:r>
        <w:rPr>
          <w:rFonts w:ascii="Courier New" w:hAnsi="Courier New" w:cs="Courier New"/>
          <w:sz w:val="20"/>
          <w:szCs w:val="20"/>
          <w:lang w:eastAsia="uk-UA"/>
        </w:rPr>
        <w:tab/>
        <w:t xml:space="preserve">Торгова та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нша кредиторська заборгован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9.1.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Структура кредиторської короткострокової заборгованост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за поставками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31.12.2015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кредити банк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1600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Поточна 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за довгостроковими зобов'язаннями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1610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за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1610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880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 поставками за товари, роботи, послуги перед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тчизняними постачальниками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1615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lastRenderedPageBreak/>
        <w:t xml:space="preserve">За поставками за товари, роботи, послуги перед 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ноземними постачальниками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1615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Аванси, отриман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на поставки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1635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З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податку на дох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1620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 бюджетними розрахунками, без податку на дох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(</w:t>
      </w:r>
      <w:r>
        <w:rPr>
          <w:rFonts w:ascii="Courier New" w:hAnsi="Courier New" w:cs="Courier New"/>
          <w:sz w:val="20"/>
          <w:szCs w:val="20"/>
          <w:lang w:val="en-US" w:eastAsia="uk-UA"/>
        </w:rPr>
        <w:t>CIT</w:t>
      </w:r>
      <w:r>
        <w:rPr>
          <w:rFonts w:ascii="Courier New" w:hAnsi="Courier New" w:cs="Courier New"/>
          <w:sz w:val="20"/>
          <w:szCs w:val="20"/>
          <w:lang w:eastAsia="uk-UA"/>
        </w:rPr>
        <w:t>)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1620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 зароб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тною платою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1630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перед органами 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ального страхування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1625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За див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дендами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1640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Поточна 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сть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 внутр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шн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розрахунк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1645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51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1690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Короткостроков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зобов'язання за поставками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нше, 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934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9.2.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Довгострокова кредиторська заборгован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дсутня.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10.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Дох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Структура доход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Показник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2015 р.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2014 р.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Доходи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 продажу: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готової продукц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 власного виробництва, товар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послуг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2000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67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доходи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2120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51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333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 т.ч. послуг з оренди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доходи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2240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781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2000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118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1114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11.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види доход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дсутн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12.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Соб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Соб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2015 р.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2014 р.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сть проданої готової продукц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товар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в, послуг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2050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67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Соб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реал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зованих оборотних актив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2180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Соб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варт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надання в оренду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eastAsia="uk-UA"/>
        </w:rPr>
        <w:tab/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  <w:proofErr w:type="gramEnd"/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2050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67</w:t>
      </w:r>
      <w:r>
        <w:rPr>
          <w:rFonts w:ascii="Courier New" w:hAnsi="Courier New" w:cs="Courier New"/>
          <w:sz w:val="20"/>
          <w:szCs w:val="20"/>
          <w:lang w:eastAsia="uk-UA"/>
        </w:rPr>
        <w:tab/>
        <w:t>-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13. Витрати за економ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чною класиф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єю у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були подан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таким чином: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(тис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г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рн.)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Види витрат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Код рядка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2015 р.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2014 р.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Матер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затрати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2500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50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Витрати на оплату прац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ab/>
        <w:t>2505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90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151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драхування на соц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заходи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2510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71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Амортизац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я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2515</w:t>
      </w:r>
      <w:r>
        <w:rPr>
          <w:rFonts w:ascii="Courier New" w:hAnsi="Courier New" w:cs="Courier New"/>
          <w:sz w:val="20"/>
          <w:szCs w:val="20"/>
          <w:lang w:eastAsia="uk-UA"/>
        </w:rPr>
        <w:tab/>
        <w:t>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0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витрати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2520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841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3106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Всього</w:t>
      </w:r>
      <w:r>
        <w:rPr>
          <w:rFonts w:ascii="Courier New" w:hAnsi="Courier New" w:cs="Courier New"/>
          <w:sz w:val="20"/>
          <w:szCs w:val="20"/>
          <w:lang w:eastAsia="uk-UA"/>
        </w:rPr>
        <w:tab/>
        <w:t>2550</w:t>
      </w:r>
      <w:r>
        <w:rPr>
          <w:rFonts w:ascii="Courier New" w:hAnsi="Courier New" w:cs="Courier New"/>
          <w:sz w:val="20"/>
          <w:szCs w:val="20"/>
          <w:lang w:eastAsia="uk-UA"/>
        </w:rPr>
        <w:tab/>
        <w:t>966</w:t>
      </w:r>
      <w:r>
        <w:rPr>
          <w:rFonts w:ascii="Courier New" w:hAnsi="Courier New" w:cs="Courier New"/>
          <w:sz w:val="20"/>
          <w:szCs w:val="20"/>
          <w:lang w:eastAsia="uk-UA"/>
        </w:rPr>
        <w:tab/>
        <w:t>3378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14.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Зв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 про рух грошових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Зв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т про рух грошових кошт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сформовано прямим методом шляхом розкриття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про основн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види валових грошових надходжень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виплат.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15.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Пов'язан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сторони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МСБО 24 дає визначення пов'язаних ос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б, якими на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являються: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    а)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зична особа або близький родич такої особи, яка має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в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статутному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не менше 10%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дприємства, якщо така особа контролює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 та має суттєвий вплив на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дприємство, або суб'єкт господарювання, зв'язаний з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дприємством;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   б) є членом пров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дного управл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нського персоналу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дприємства, або материнського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       в) близьк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родич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зичної особи - члени родини,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, за оч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куванням, можуть впливати на таку особу, або перебувати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впливом при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йсненн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з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дприємством.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В розрахунках з пов'язаними особами застосовуються звичайн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ни, як для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х споживач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Для 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лей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єї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сторони вважаються пов'язаними, якщо одна сторона має можлив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сть контролювати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ншу сторону, або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йснювати суттєвий влив на прийняття нею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нансових чи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йних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шень. При анал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кожного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випадку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дносин, що можуть являти собою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дносини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ж пов'язаними сторонами, </w:t>
      </w:r>
      <w:r>
        <w:rPr>
          <w:rFonts w:ascii="Courier New" w:hAnsi="Courier New" w:cs="Courier New"/>
          <w:sz w:val="20"/>
          <w:szCs w:val="20"/>
          <w:lang w:eastAsia="uk-UA"/>
        </w:rPr>
        <w:lastRenderedPageBreak/>
        <w:t>увага прид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ляється сут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цих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дносин, а не лише їх юридичн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форм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 Пов'язан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особи ПАТ "Цукровий завод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м. Цюрупи" це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онери,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волод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ють пакетом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б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льше 10%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статутного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кап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талу. За даними депозитар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ю на дату балансу таким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онером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являється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Компан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"Антеус 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тед" (</w:t>
      </w:r>
      <w:r>
        <w:rPr>
          <w:rFonts w:ascii="Courier New" w:hAnsi="Courier New" w:cs="Courier New"/>
          <w:sz w:val="20"/>
          <w:szCs w:val="20"/>
          <w:lang w:val="en-US" w:eastAsia="uk-UA"/>
        </w:rPr>
        <w:t>Anteuse</w:t>
      </w:r>
      <w:r w:rsidRPr="007D1C76"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 w:eastAsia="uk-UA"/>
        </w:rPr>
        <w:t>Limited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),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дентиф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йний код НЕ 293654, (М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сцезнаходження: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Афрод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с, буд. 25, 2-й поверх, квартира/оф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 </w:t>
      </w:r>
      <w:smartTag w:uri="urn:schemas-microsoft-com:office:smarttags" w:element="metricconverter">
        <w:smartTagPr>
          <w:attr w:name="ProductID" w:val="204, м"/>
        </w:smartTagPr>
        <w:r>
          <w:rPr>
            <w:rFonts w:ascii="Courier New" w:hAnsi="Courier New" w:cs="Courier New"/>
            <w:sz w:val="20"/>
            <w:szCs w:val="20"/>
            <w:lang w:eastAsia="uk-UA"/>
          </w:rPr>
          <w:t>204, м</w:t>
        </w:r>
      </w:smartTag>
      <w:r>
        <w:rPr>
          <w:rFonts w:ascii="Courier New" w:hAnsi="Courier New" w:cs="Courier New"/>
          <w:sz w:val="20"/>
          <w:szCs w:val="20"/>
          <w:lang w:eastAsia="uk-UA"/>
        </w:rPr>
        <w:t>. 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кос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я, 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пр, 10060).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У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тному пер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 зв'язку з придбанням викуплених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дприємством в 2014 роц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власної ем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 пакет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цього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онера зр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с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з 40000 простих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менних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що складало 23,5088 % СК, до 140544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або 82,6005 %. Догов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р щодо куп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-продажу акц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й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єю пов'язаною особою укладено за тими ж 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нами, що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для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зичних ос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б - по 36,00 грн. за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1 акц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ю при 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 вартост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10,50 грн.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Управл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нський персонал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дприємства не отримував 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яких винагород, окр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м плати в межах трудових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дносин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дно до 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трудового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законодавства та штатного розкладу.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16.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Под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 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сля дати балансу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Под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ї, як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потребують коригування ф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нансової зв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тност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чи розкриття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нформац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ї,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дсутн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17.</w:t>
      </w:r>
      <w:r>
        <w:rPr>
          <w:rFonts w:ascii="Courier New" w:hAnsi="Courier New" w:cs="Courier New"/>
          <w:sz w:val="20"/>
          <w:szCs w:val="20"/>
          <w:lang w:eastAsia="uk-UA"/>
        </w:rPr>
        <w:tab/>
        <w:t>Юридичн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питання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Українське законодавство, що регулює оподаткування та аспекти зд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йснення операц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й, продовжує розвиватися як насл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док переходу до ринкової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ки. Положення законодавчих та нормативних акт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 не завжди ч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тко сформульован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, а їх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нтерпретац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 залежить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 точки зору 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сцевих, рег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ональних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центральних орган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 державної влади та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нших урядових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нститут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в. Нер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дко точки зору 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зних орган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на певне питання не сп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впадають. Кер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вництво вважа</w:t>
      </w:r>
      <w:proofErr w:type="gramStart"/>
      <w:r>
        <w:rPr>
          <w:rFonts w:ascii="Courier New" w:hAnsi="Courier New" w:cs="Courier New"/>
          <w:sz w:val="20"/>
          <w:szCs w:val="20"/>
          <w:lang w:eastAsia="uk-UA"/>
        </w:rPr>
        <w:t>є,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 що 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яльн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сть Товариства зд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йснювалась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дпов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дно до законодавства,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вс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передбачен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чинним законодавством податки були нарахован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або сплачен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. У випадках, коли порядок нарахування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сума податкових зобов'язань були невизначеними, нарахування зд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йснювалися на основ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найкращих оц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нок кер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вництва. 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До Товариства в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 xml:space="preserve">д 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нших ос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б з ризиками суттєвих 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дток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в економ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чних вигод судов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 xml:space="preserve"> справи не порушувались.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Кер</w:t>
      </w:r>
      <w:proofErr w:type="gramStart"/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proofErr w:type="gramEnd"/>
      <w:r>
        <w:rPr>
          <w:rFonts w:ascii="Courier New" w:hAnsi="Courier New" w:cs="Courier New"/>
          <w:sz w:val="20"/>
          <w:szCs w:val="20"/>
          <w:lang w:eastAsia="uk-UA"/>
        </w:rPr>
        <w:t>вник Товариства                                 В.</w:t>
      </w:r>
      <w:r>
        <w:rPr>
          <w:rFonts w:ascii="Courier New" w:hAnsi="Courier New" w:cs="Courier New"/>
          <w:sz w:val="20"/>
          <w:szCs w:val="20"/>
          <w:lang w:val="en-US" w:eastAsia="uk-UA"/>
        </w:rPr>
        <w:t>I</w:t>
      </w:r>
      <w:r>
        <w:rPr>
          <w:rFonts w:ascii="Courier New" w:hAnsi="Courier New" w:cs="Courier New"/>
          <w:sz w:val="20"/>
          <w:szCs w:val="20"/>
          <w:lang w:eastAsia="uk-UA"/>
        </w:rPr>
        <w:t>.Баланенко</w:t>
      </w: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</w:p>
    <w:p w:rsidR="009C71EA" w:rsidRDefault="009C71EA" w:rsidP="009C71EA">
      <w:pPr>
        <w:rPr>
          <w:rFonts w:ascii="Courier New" w:hAnsi="Courier New" w:cs="Courier New"/>
          <w:sz w:val="20"/>
          <w:szCs w:val="20"/>
          <w:lang w:eastAsia="uk-UA"/>
        </w:rPr>
      </w:pPr>
      <w:r>
        <w:rPr>
          <w:rFonts w:ascii="Courier New" w:hAnsi="Courier New" w:cs="Courier New"/>
          <w:sz w:val="20"/>
          <w:szCs w:val="20"/>
          <w:lang w:eastAsia="uk-UA"/>
        </w:rPr>
        <w:t>Головний бухгалтер                                  Л.В.Николенко</w:t>
      </w:r>
    </w:p>
    <w:p w:rsidR="00004765" w:rsidRDefault="00004765"/>
    <w:sectPr w:rsidR="00004765" w:rsidSect="0000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71EA"/>
    <w:rsid w:val="00004765"/>
    <w:rsid w:val="00183F58"/>
    <w:rsid w:val="008453FB"/>
    <w:rsid w:val="009C71EA"/>
    <w:rsid w:val="00A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E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1EA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3879</Words>
  <Characters>22114</Characters>
  <Application>Microsoft Office Word</Application>
  <DocSecurity>0</DocSecurity>
  <Lines>184</Lines>
  <Paragraphs>51</Paragraphs>
  <ScaleCrop>false</ScaleCrop>
  <Company>Krokoz™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olga.babiychuk</dc:creator>
  <cp:keywords/>
  <dc:description/>
  <cp:lastModifiedBy>olga.babiychuk</cp:lastModifiedBy>
  <cp:revision>2</cp:revision>
  <dcterms:created xsi:type="dcterms:W3CDTF">2016-04-12T07:42:00Z</dcterms:created>
  <dcterms:modified xsi:type="dcterms:W3CDTF">2016-04-12T07:42:00Z</dcterms:modified>
</cp:coreProperties>
</file>